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A217F4" w:rsidRDefault="00605245"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20</w:t>
      </w:r>
      <w:r w:rsidR="00877EA4">
        <w:rPr>
          <w:rFonts w:asciiTheme="minorHAnsi" w:hAnsiTheme="minorHAnsi"/>
          <w:b w:val="0"/>
          <w:bCs w:val="0"/>
          <w:sz w:val="20"/>
        </w:rPr>
        <w:t>.</w:t>
      </w:r>
      <w:r>
        <w:rPr>
          <w:rFonts w:asciiTheme="minorHAnsi" w:hAnsiTheme="minorHAnsi"/>
          <w:b w:val="0"/>
          <w:bCs w:val="0"/>
          <w:sz w:val="20"/>
        </w:rPr>
        <w:t>11</w:t>
      </w:r>
      <w:r w:rsidR="00881459">
        <w:rPr>
          <w:rFonts w:asciiTheme="minorHAnsi" w:hAnsiTheme="minorHAnsi"/>
          <w:b w:val="0"/>
          <w:bCs w:val="0"/>
          <w:sz w:val="20"/>
        </w:rPr>
        <w:t>.201</w:t>
      </w:r>
      <w:r>
        <w:rPr>
          <w:rFonts w:asciiTheme="minorHAnsi" w:hAnsiTheme="minorHAnsi"/>
          <w:b w:val="0"/>
          <w:bCs w:val="0"/>
          <w:sz w:val="20"/>
        </w:rPr>
        <w:t>7</w:t>
      </w:r>
    </w:p>
    <w:p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p>
    <w:p w:rsidR="006A2F73" w:rsidRPr="00A217F4" w:rsidRDefault="00884F06" w:rsidP="00BC1378">
      <w:pPr>
        <w:spacing w:line="276" w:lineRule="auto"/>
        <w:rPr>
          <w:rFonts w:asciiTheme="minorHAnsi" w:hAnsiTheme="minorHAnsi" w:cs="Arial"/>
          <w:sz w:val="22"/>
          <w:szCs w:val="22"/>
        </w:rPr>
      </w:pPr>
      <w:r w:rsidRPr="00A217F4">
        <w:rPr>
          <w:rFonts w:asciiTheme="minorHAnsi" w:hAnsiTheme="minorHAnsi"/>
          <w:noProof/>
          <w:lang w:eastAsia="pl-PL"/>
        </w:rPr>
        <w:drawing>
          <wp:inline distT="0" distB="0" distL="0" distR="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Pr="00A217F4" w:rsidRDefault="006D03DA" w:rsidP="00BC1378">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rsidR="006D03DA" w:rsidRPr="00A217F4" w:rsidRDefault="006D03DA" w:rsidP="00BC1378">
      <w:pPr>
        <w:pStyle w:val="Tekstpodstawowy2"/>
        <w:tabs>
          <w:tab w:val="left" w:pos="7560"/>
        </w:tabs>
        <w:spacing w:line="276" w:lineRule="auto"/>
        <w:rPr>
          <w:rFonts w:asciiTheme="minorHAnsi" w:hAnsiTheme="minorHAnsi"/>
        </w:rPr>
      </w:pPr>
      <w:r w:rsidRPr="00A217F4">
        <w:rPr>
          <w:rFonts w:asciiTheme="minorHAnsi" w:hAnsiTheme="minorHAnsi"/>
        </w:rPr>
        <w:t xml:space="preserve">tel. </w:t>
      </w:r>
      <w:r w:rsidR="00DE45D2" w:rsidRPr="00A217F4">
        <w:rPr>
          <w:rFonts w:asciiTheme="minorHAnsi" w:hAnsiTheme="minorHAnsi"/>
        </w:rPr>
        <w:t>509 509</w:t>
      </w:r>
      <w:r w:rsidR="00BE15EA" w:rsidRPr="00A217F4">
        <w:rPr>
          <w:rFonts w:asciiTheme="minorHAnsi" w:hAnsiTheme="minorHAnsi"/>
        </w:rPr>
        <w:t> </w:t>
      </w:r>
      <w:r w:rsidR="00DE45D2" w:rsidRPr="00A217F4">
        <w:rPr>
          <w:rFonts w:asciiTheme="minorHAnsi" w:hAnsiTheme="minorHAnsi"/>
        </w:rPr>
        <w:t>536</w:t>
      </w:r>
    </w:p>
    <w:p w:rsidR="006D03DA" w:rsidRDefault="00A5593D" w:rsidP="00BC1378">
      <w:pPr>
        <w:pStyle w:val="Tekstpodstawowy"/>
        <w:tabs>
          <w:tab w:val="left" w:pos="3686"/>
          <w:tab w:val="left" w:pos="7560"/>
        </w:tabs>
        <w:spacing w:line="276" w:lineRule="auto"/>
        <w:jc w:val="right"/>
        <w:rPr>
          <w:rStyle w:val="Hipercze"/>
          <w:rFonts w:asciiTheme="minorHAnsi" w:hAnsiTheme="minorHAnsi" w:cs="Arial"/>
          <w:b w:val="0"/>
          <w:sz w:val="20"/>
        </w:rPr>
      </w:pPr>
      <w:hyperlink r:id="rId9" w:history="1">
        <w:r w:rsidR="006D03DA" w:rsidRPr="00A217F4">
          <w:rPr>
            <w:rStyle w:val="Hipercze"/>
            <w:rFonts w:asciiTheme="minorHAnsi" w:hAnsiTheme="minorHAnsi" w:cs="Arial"/>
            <w:b w:val="0"/>
            <w:sz w:val="20"/>
          </w:rPr>
          <w:t>media@sedlak.pl</w:t>
        </w:r>
      </w:hyperlink>
    </w:p>
    <w:p w:rsidR="00605245" w:rsidRPr="00A217F4" w:rsidRDefault="00605245" w:rsidP="00BC1378">
      <w:pPr>
        <w:pStyle w:val="Tekstpodstawowy"/>
        <w:tabs>
          <w:tab w:val="left" w:pos="3686"/>
          <w:tab w:val="left" w:pos="7560"/>
        </w:tabs>
        <w:spacing w:line="276" w:lineRule="auto"/>
        <w:jc w:val="right"/>
        <w:rPr>
          <w:rFonts w:asciiTheme="minorHAnsi" w:hAnsiTheme="minorHAnsi" w:cs="Arial"/>
          <w:b w:val="0"/>
          <w:color w:val="000080"/>
          <w:sz w:val="20"/>
        </w:rPr>
      </w:pPr>
    </w:p>
    <w:p w:rsidR="00605245" w:rsidRPr="00605245" w:rsidRDefault="00605245" w:rsidP="00605245">
      <w:pPr>
        <w:spacing w:after="200" w:line="276" w:lineRule="auto"/>
        <w:jc w:val="center"/>
        <w:rPr>
          <w:rFonts w:ascii="Calibri" w:eastAsia="Calibri" w:hAnsi="Calibri"/>
          <w:b/>
          <w:sz w:val="40"/>
          <w:szCs w:val="40"/>
        </w:rPr>
      </w:pPr>
      <w:r w:rsidRPr="00605245">
        <w:rPr>
          <w:rFonts w:ascii="Calibri" w:eastAsia="Calibri" w:hAnsi="Calibri"/>
          <w:b/>
          <w:color w:val="002060"/>
          <w:sz w:val="40"/>
          <w:szCs w:val="40"/>
        </w:rPr>
        <w:t>Zarobki programistów w 2017 roku</w:t>
      </w:r>
    </w:p>
    <w:p w:rsidR="00605245" w:rsidRPr="00605245" w:rsidRDefault="00605245" w:rsidP="00605245">
      <w:pPr>
        <w:tabs>
          <w:tab w:val="left" w:pos="-720"/>
          <w:tab w:val="left" w:pos="0"/>
          <w:tab w:val="left" w:pos="720"/>
          <w:tab w:val="left" w:pos="1440"/>
          <w:tab w:val="left" w:pos="2160"/>
          <w:tab w:val="left" w:pos="2880"/>
          <w:tab w:val="left" w:pos="3600"/>
          <w:tab w:val="left" w:pos="4320"/>
        </w:tabs>
        <w:autoSpaceDE w:val="0"/>
        <w:autoSpaceDN w:val="0"/>
        <w:adjustRightInd w:val="0"/>
        <w:jc w:val="right"/>
        <w:rPr>
          <w:rFonts w:ascii="Calibri" w:eastAsia="Calibri" w:hAnsi="Calibri"/>
          <w:i/>
        </w:rPr>
      </w:pPr>
      <w:r w:rsidRPr="00605245">
        <w:rPr>
          <w:rFonts w:ascii="Calibri" w:eastAsia="Calibri" w:hAnsi="Calibri"/>
          <w:i/>
        </w:rPr>
        <w:t>„Są rzeczy na niebie i na ziemi, o których się filozofom nie śniło”.</w:t>
      </w:r>
    </w:p>
    <w:p w:rsidR="00605245" w:rsidRPr="00605245" w:rsidRDefault="00605245" w:rsidP="00605245">
      <w:pPr>
        <w:tabs>
          <w:tab w:val="left" w:pos="-720"/>
          <w:tab w:val="left" w:pos="0"/>
          <w:tab w:val="left" w:pos="720"/>
          <w:tab w:val="left" w:pos="1440"/>
          <w:tab w:val="left" w:pos="2160"/>
          <w:tab w:val="left" w:pos="2880"/>
          <w:tab w:val="left" w:pos="3600"/>
          <w:tab w:val="left" w:pos="4320"/>
        </w:tabs>
        <w:autoSpaceDE w:val="0"/>
        <w:autoSpaceDN w:val="0"/>
        <w:adjustRightInd w:val="0"/>
        <w:jc w:val="right"/>
        <w:rPr>
          <w:rFonts w:ascii="Calibri" w:eastAsia="Calibri" w:hAnsi="Calibri"/>
          <w:i/>
        </w:rPr>
      </w:pPr>
      <w:r w:rsidRPr="00605245">
        <w:rPr>
          <w:rFonts w:ascii="Calibri" w:eastAsia="Calibri" w:hAnsi="Calibri"/>
          <w:i/>
        </w:rPr>
        <w:t>(W. Szekspir)</w:t>
      </w:r>
    </w:p>
    <w:p w:rsidR="00605245" w:rsidRPr="00605245" w:rsidRDefault="00605245" w:rsidP="00605245">
      <w:pPr>
        <w:spacing w:after="200" w:line="276" w:lineRule="auto"/>
        <w:rPr>
          <w:rFonts w:ascii="Calibri" w:eastAsia="Calibri" w:hAnsi="Calibri"/>
          <w:b/>
          <w:caps/>
          <w:sz w:val="40"/>
          <w:szCs w:val="40"/>
        </w:rPr>
      </w:pPr>
    </w:p>
    <w:p w:rsidR="00605245" w:rsidRPr="00605245" w:rsidRDefault="00605245" w:rsidP="00605245">
      <w:pPr>
        <w:spacing w:after="200" w:line="276" w:lineRule="auto"/>
        <w:jc w:val="both"/>
        <w:rPr>
          <w:rFonts w:ascii="Calibri" w:eastAsia="Calibri" w:hAnsi="Calibri"/>
          <w:color w:val="FF0000"/>
        </w:rPr>
      </w:pPr>
      <w:r w:rsidRPr="00605245">
        <w:rPr>
          <w:rFonts w:ascii="Calibri" w:eastAsia="Calibri" w:hAnsi="Calibri"/>
        </w:rPr>
        <w:t xml:space="preserve">Zarobki w branży IT to temat, który elektryzuje specjalistów ds. wynagrodzeń. Według powszechnego przekonania rynek umożliwia informatykom stawianie wysokich żądań finansowych. Szczególną grupą w tej branży są programiści, których unikalne umiejętności są wysoko cenione na rynku. Warto przyjrzeć się bliżej tej grupie, gdyż ich zarobki są zróżnicowane nie tylko ze względu na poziom doświadczenia czy lokalizację firmy, ale także na języki czy technologie, w których pracują. </w:t>
      </w:r>
      <w:r w:rsidRPr="00605245">
        <w:rPr>
          <w:rFonts w:ascii="Calibri" w:eastAsia="Calibri" w:hAnsi="Calibri"/>
          <w:color w:val="FF0000"/>
        </w:rPr>
        <w:t xml:space="preserve"> </w:t>
      </w:r>
    </w:p>
    <w:p w:rsidR="00605245" w:rsidRPr="00605245" w:rsidRDefault="00605245" w:rsidP="00605245">
      <w:pPr>
        <w:spacing w:after="200" w:line="276" w:lineRule="auto"/>
        <w:jc w:val="both"/>
        <w:rPr>
          <w:rFonts w:ascii="Calibri" w:eastAsia="Calibri" w:hAnsi="Calibri"/>
          <w:color w:val="FF0000"/>
        </w:rPr>
      </w:pPr>
    </w:p>
    <w:p w:rsidR="00605245" w:rsidRPr="00605245" w:rsidRDefault="00605245" w:rsidP="00605245">
      <w:pPr>
        <w:spacing w:after="60" w:line="276" w:lineRule="auto"/>
        <w:jc w:val="both"/>
        <w:rPr>
          <w:rFonts w:ascii="Calibri" w:eastAsia="Calibri" w:hAnsi="Calibri"/>
          <w:b/>
          <w:color w:val="002060"/>
        </w:rPr>
      </w:pPr>
      <w:r w:rsidRPr="00605245">
        <w:rPr>
          <w:rFonts w:ascii="Calibri" w:eastAsia="Calibri" w:hAnsi="Calibri"/>
          <w:b/>
          <w:color w:val="002060"/>
        </w:rPr>
        <w:t>Programiści różnych języków</w:t>
      </w:r>
    </w:p>
    <w:p w:rsidR="00605245" w:rsidRPr="00605245" w:rsidRDefault="00605245" w:rsidP="00605245">
      <w:pPr>
        <w:spacing w:after="200" w:line="276" w:lineRule="auto"/>
        <w:jc w:val="both"/>
        <w:rPr>
          <w:rFonts w:ascii="Calibri" w:eastAsia="Calibri" w:hAnsi="Calibri"/>
        </w:rPr>
      </w:pPr>
      <w:r w:rsidRPr="00605245">
        <w:rPr>
          <w:rFonts w:ascii="Calibri" w:eastAsia="Calibri" w:hAnsi="Calibri"/>
        </w:rPr>
        <w:t xml:space="preserve">W raporcie płacowym Sedlak </w:t>
      </w:r>
      <w:r w:rsidRPr="00605245">
        <w:rPr>
          <w:rFonts w:ascii="Calibri" w:eastAsia="Calibri" w:hAnsi="Calibri"/>
          <w:sz w:val="20"/>
        </w:rPr>
        <w:t>&amp;</w:t>
      </w:r>
      <w:r w:rsidRPr="00605245">
        <w:rPr>
          <w:rFonts w:ascii="Calibri" w:eastAsia="Calibri" w:hAnsi="Calibri"/>
        </w:rPr>
        <w:t xml:space="preserve"> Sedlak dla branży IT 2017 znajdują się dane o wynagrodzeniach m.in. programistów posługujących się językami C/C++, PHP, Python, pracujących w technologii .NET czy w Java. Na wykresie poniżej zaprezentowano jakie wynagrodzenie otrzymują starsi programiści, czyli tacy, którzy posiadają duże doświadczenie w danej dziedzinie, wykonują skomplikowane zadania, a ich doświadczenie zawodowe to minimum 3 lata. </w:t>
      </w:r>
    </w:p>
    <w:p w:rsidR="00605245" w:rsidRPr="00605245" w:rsidRDefault="00605245" w:rsidP="00605245">
      <w:pPr>
        <w:spacing w:line="256" w:lineRule="auto"/>
        <w:jc w:val="center"/>
        <w:rPr>
          <w:rFonts w:ascii="Calibri" w:eastAsia="Calibri" w:hAnsi="Calibri"/>
          <w:b/>
          <w:color w:val="1F497D"/>
        </w:rPr>
      </w:pPr>
      <w:r w:rsidRPr="00605245">
        <w:rPr>
          <w:rFonts w:ascii="Calibri" w:eastAsia="Calibri" w:hAnsi="Calibri"/>
          <w:b/>
          <w:color w:val="1F497D"/>
        </w:rPr>
        <w:t xml:space="preserve">Wykres 1. Wynagrodzenie całkowite </w:t>
      </w:r>
      <w:r w:rsidRPr="00605245">
        <w:rPr>
          <w:rFonts w:ascii="Calibri" w:eastAsia="Calibri" w:hAnsi="Calibri"/>
          <w:b/>
          <w:color w:val="1F497D"/>
        </w:rPr>
        <w:br/>
        <w:t>starszych programistów zatrudnionych na umowę o pracę (brutto, PLN)</w:t>
      </w:r>
    </w:p>
    <w:p w:rsidR="00605245" w:rsidRPr="00605245" w:rsidRDefault="00605245" w:rsidP="00605245">
      <w:pPr>
        <w:spacing w:after="200" w:line="276" w:lineRule="auto"/>
        <w:rPr>
          <w:rFonts w:ascii="Calibri" w:eastAsia="Calibri" w:hAnsi="Calibri"/>
          <w:sz w:val="22"/>
          <w:szCs w:val="22"/>
          <w:lang w:eastAsia="pl-PL"/>
        </w:rPr>
      </w:pPr>
      <w:r w:rsidRPr="00605245">
        <w:rPr>
          <w:rFonts w:ascii="Calibri" w:eastAsia="Calibri" w:hAnsi="Calibri"/>
          <w:noProof/>
          <w:sz w:val="22"/>
          <w:szCs w:val="22"/>
          <w:lang w:eastAsia="pl-PL"/>
        </w:rPr>
        <w:lastRenderedPageBreak/>
        <w:drawing>
          <wp:inline distT="0" distB="0" distL="0" distR="0" wp14:anchorId="461AD710" wp14:editId="326CF161">
            <wp:extent cx="5762625" cy="2705100"/>
            <wp:effectExtent l="0" t="0" r="9525" b="0"/>
            <wp:docPr id="13" name="Wykres 1">
              <a:extLst xmlns:a="http://schemas.openxmlformats.org/drawingml/2006/main">
                <a:ext uri="{FF2B5EF4-FFF2-40B4-BE49-F238E27FC236}">
                  <a16:creationId xmlns:lc="http://schemas.openxmlformats.org/drawingml/2006/lockedCanvas"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xmlns:arto="http://schemas.microsoft.com/office/word/2006/arto" id="{9B315AF0-5ABC-42DF-8818-6A97D8247FE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05245" w:rsidRPr="00605245" w:rsidRDefault="00605245" w:rsidP="00605245">
      <w:pPr>
        <w:spacing w:after="200" w:line="276" w:lineRule="auto"/>
        <w:jc w:val="center"/>
        <w:rPr>
          <w:rFonts w:ascii="Calibri" w:eastAsia="Calibri" w:hAnsi="Calibri"/>
          <w:i/>
          <w:sz w:val="18"/>
          <w:szCs w:val="18"/>
        </w:rPr>
      </w:pPr>
      <w:bookmarkStart w:id="0" w:name="_Hlk485200215"/>
      <w:r w:rsidRPr="00605245">
        <w:rPr>
          <w:rFonts w:ascii="Calibri" w:eastAsia="Calibri" w:hAnsi="Calibri"/>
          <w:i/>
          <w:sz w:val="18"/>
          <w:szCs w:val="18"/>
        </w:rPr>
        <w:t xml:space="preserve">Źródło: Raport płacowy Sedlak </w:t>
      </w:r>
      <w:r w:rsidRPr="00605245">
        <w:rPr>
          <w:rFonts w:ascii="Calibri" w:eastAsia="Calibri" w:hAnsi="Calibri"/>
          <w:i/>
          <w:sz w:val="14"/>
          <w:szCs w:val="18"/>
        </w:rPr>
        <w:t xml:space="preserve">&amp; </w:t>
      </w:r>
      <w:r w:rsidRPr="00605245">
        <w:rPr>
          <w:rFonts w:ascii="Calibri" w:eastAsia="Calibri" w:hAnsi="Calibri"/>
          <w:i/>
          <w:sz w:val="18"/>
          <w:szCs w:val="18"/>
        </w:rPr>
        <w:t>Sedlak dla branży IT 2017</w:t>
      </w:r>
    </w:p>
    <w:bookmarkEnd w:id="0"/>
    <w:p w:rsidR="00605245" w:rsidRPr="00605245" w:rsidRDefault="00605245" w:rsidP="00605245">
      <w:pPr>
        <w:spacing w:after="200" w:line="276" w:lineRule="auto"/>
        <w:jc w:val="both"/>
        <w:rPr>
          <w:rFonts w:ascii="Calibri" w:eastAsia="Calibri" w:hAnsi="Calibri"/>
        </w:rPr>
      </w:pPr>
    </w:p>
    <w:p w:rsidR="00605245" w:rsidRPr="00605245" w:rsidRDefault="00605245" w:rsidP="00605245">
      <w:pPr>
        <w:spacing w:after="200" w:line="276" w:lineRule="auto"/>
        <w:jc w:val="both"/>
        <w:rPr>
          <w:rFonts w:ascii="Calibri" w:eastAsia="Calibri" w:hAnsi="Calibri"/>
        </w:rPr>
      </w:pPr>
      <w:r w:rsidRPr="00605245">
        <w:rPr>
          <w:rFonts w:ascii="Calibri" w:eastAsia="Calibri" w:hAnsi="Calibri"/>
        </w:rPr>
        <w:t>Najwyższe zarobki otrzymują starsi programiści pracujący w technologii JAVA - połowa z nich zarabia w przedziale od 9 500 do 12 200 PLN. Niewiele mniej zarabiają starsi programiści C/C++, których zarobki mieszczą się w przedziale 9 500 PLN – 12 200 PLN. Na trzecim miejscu znaleźli się programiści aplikacji mobilnych – połowa z nich otrzymuje wynagrodzenie od 8 000 do 13 500 PLN.</w:t>
      </w:r>
    </w:p>
    <w:p w:rsidR="00605245" w:rsidRPr="00605245" w:rsidRDefault="00605245" w:rsidP="00605245">
      <w:pPr>
        <w:spacing w:after="200" w:line="276" w:lineRule="auto"/>
        <w:jc w:val="both"/>
        <w:rPr>
          <w:rFonts w:ascii="Calibri" w:eastAsia="Calibri" w:hAnsi="Calibri"/>
          <w:b/>
          <w:color w:val="002060"/>
        </w:rPr>
      </w:pPr>
    </w:p>
    <w:p w:rsidR="00605245" w:rsidRPr="00605245" w:rsidRDefault="00605245" w:rsidP="00605245">
      <w:pPr>
        <w:spacing w:after="60" w:line="276" w:lineRule="auto"/>
        <w:jc w:val="both"/>
        <w:rPr>
          <w:rFonts w:ascii="Calibri" w:eastAsia="Calibri" w:hAnsi="Calibri"/>
          <w:b/>
          <w:color w:val="002060"/>
        </w:rPr>
      </w:pPr>
      <w:r w:rsidRPr="00605245">
        <w:rPr>
          <w:rFonts w:ascii="Calibri" w:eastAsia="Calibri" w:hAnsi="Calibri"/>
          <w:b/>
          <w:color w:val="002060"/>
        </w:rPr>
        <w:t xml:space="preserve">Programiści pracujący w różnych województwach </w:t>
      </w:r>
    </w:p>
    <w:p w:rsidR="00605245" w:rsidRPr="00605245" w:rsidRDefault="00605245" w:rsidP="00605245">
      <w:pPr>
        <w:spacing w:after="200" w:line="276" w:lineRule="auto"/>
        <w:jc w:val="both"/>
        <w:rPr>
          <w:rFonts w:ascii="Calibri" w:eastAsia="Calibri" w:hAnsi="Calibri"/>
        </w:rPr>
      </w:pPr>
      <w:r w:rsidRPr="00605245">
        <w:rPr>
          <w:rFonts w:ascii="Calibri" w:eastAsia="Calibri" w:hAnsi="Calibri"/>
        </w:rPr>
        <w:t xml:space="preserve">Analizując wynagrodzenia programistów warto przyjrzeć się kryterium regionalnemu. Poniżej zaprezentowano medianę wynagrodzenia całkowitego starszych programistów w wybranych województwach. </w:t>
      </w:r>
    </w:p>
    <w:p w:rsidR="00605245" w:rsidRPr="00605245" w:rsidRDefault="00605245" w:rsidP="00605245">
      <w:pPr>
        <w:spacing w:line="256" w:lineRule="auto"/>
        <w:jc w:val="center"/>
        <w:rPr>
          <w:rFonts w:ascii="Calibri" w:eastAsia="Calibri" w:hAnsi="Calibri"/>
          <w:b/>
          <w:color w:val="1F497D"/>
        </w:rPr>
      </w:pPr>
      <w:r w:rsidRPr="00605245">
        <w:rPr>
          <w:rFonts w:ascii="Calibri" w:eastAsia="Calibri" w:hAnsi="Calibri"/>
          <w:b/>
          <w:color w:val="1F497D"/>
        </w:rPr>
        <w:t xml:space="preserve">Schemat 1. Mediana wynagrodzenia całkowitego starszych programistów </w:t>
      </w:r>
      <w:r w:rsidRPr="00605245">
        <w:rPr>
          <w:rFonts w:ascii="Calibri" w:eastAsia="Calibri" w:hAnsi="Calibri"/>
          <w:b/>
          <w:color w:val="1F497D"/>
        </w:rPr>
        <w:br/>
        <w:t>zatrudnionych na umowę o pracę w wybranych województwach (brutto, PLN)</w:t>
      </w:r>
    </w:p>
    <w:p w:rsidR="00605245" w:rsidRPr="00605245" w:rsidRDefault="00605245" w:rsidP="00605245">
      <w:pPr>
        <w:spacing w:after="200" w:line="276" w:lineRule="auto"/>
        <w:rPr>
          <w:rFonts w:ascii="Calibri" w:eastAsia="Calibri" w:hAnsi="Calibri"/>
          <w:sz w:val="6"/>
          <w:szCs w:val="6"/>
          <w:lang w:eastAsia="pl-PL"/>
        </w:rPr>
      </w:pPr>
    </w:p>
    <w:tbl>
      <w:tblPr>
        <w:tblStyle w:val="Tabela-Siatka6"/>
        <w:tblW w:w="0" w:type="auto"/>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0"/>
        <w:gridCol w:w="4110"/>
      </w:tblGrid>
      <w:tr w:rsidR="00605245" w:rsidRPr="00605245" w:rsidTr="00605245">
        <w:tc>
          <w:tcPr>
            <w:tcW w:w="4606" w:type="dxa"/>
            <w:tcBorders>
              <w:top w:val="nil"/>
              <w:left w:val="nil"/>
              <w:bottom w:val="nil"/>
              <w:right w:val="single" w:sz="12" w:space="0" w:color="4F81BD"/>
            </w:tcBorders>
            <w:vAlign w:val="center"/>
            <w:hideMark/>
          </w:tcPr>
          <w:p w:rsidR="00605245" w:rsidRPr="00605245" w:rsidRDefault="00605245" w:rsidP="00605245">
            <w:pPr>
              <w:jc w:val="center"/>
              <w:rPr>
                <w:rFonts w:ascii="Calibri" w:eastAsia="Calibri" w:hAnsi="Calibri"/>
                <w:sz w:val="32"/>
              </w:rPr>
            </w:pPr>
            <w:r w:rsidRPr="00605245">
              <w:rPr>
                <w:rFonts w:ascii="Calibri" w:eastAsia="Calibri" w:hAnsi="Calibri"/>
                <w:sz w:val="32"/>
              </w:rPr>
              <w:t>województwo mazowieckie</w:t>
            </w:r>
          </w:p>
        </w:tc>
        <w:tc>
          <w:tcPr>
            <w:tcW w:w="4606" w:type="dxa"/>
            <w:tcBorders>
              <w:top w:val="nil"/>
              <w:left w:val="single" w:sz="12" w:space="0" w:color="4F81BD"/>
              <w:bottom w:val="nil"/>
              <w:right w:val="nil"/>
            </w:tcBorders>
            <w:vAlign w:val="center"/>
            <w:hideMark/>
          </w:tcPr>
          <w:p w:rsidR="00605245" w:rsidRPr="00605245" w:rsidRDefault="00605245" w:rsidP="00605245">
            <w:pPr>
              <w:jc w:val="center"/>
              <w:rPr>
                <w:rFonts w:ascii="Calibri" w:eastAsia="Calibri" w:hAnsi="Calibri"/>
                <w:sz w:val="32"/>
              </w:rPr>
            </w:pPr>
            <w:r w:rsidRPr="00605245">
              <w:rPr>
                <w:rFonts w:ascii="Calibri" w:eastAsia="Calibri" w:hAnsi="Calibri"/>
                <w:sz w:val="32"/>
              </w:rPr>
              <w:t>województwo małopolskie</w:t>
            </w:r>
          </w:p>
        </w:tc>
      </w:tr>
      <w:tr w:rsidR="00605245" w:rsidRPr="00605245" w:rsidTr="00605245">
        <w:trPr>
          <w:trHeight w:hRule="exact" w:val="1134"/>
        </w:trPr>
        <w:tc>
          <w:tcPr>
            <w:tcW w:w="4606" w:type="dxa"/>
            <w:tcBorders>
              <w:top w:val="nil"/>
              <w:left w:val="nil"/>
              <w:bottom w:val="single" w:sz="12" w:space="0" w:color="4F81BD"/>
              <w:right w:val="single" w:sz="12" w:space="0" w:color="4F81BD"/>
            </w:tcBorders>
            <w:vAlign w:val="center"/>
            <w:hideMark/>
          </w:tcPr>
          <w:p w:rsidR="00605245" w:rsidRPr="00605245" w:rsidRDefault="00605245" w:rsidP="00605245">
            <w:pPr>
              <w:jc w:val="center"/>
              <w:rPr>
                <w:rFonts w:ascii="Calibri" w:eastAsia="Calibri" w:hAnsi="Calibri"/>
                <w:sz w:val="52"/>
              </w:rPr>
            </w:pPr>
            <w:r w:rsidRPr="00605245">
              <w:rPr>
                <w:rFonts w:ascii="Calibri" w:eastAsia="Calibri" w:hAnsi="Calibri"/>
                <w:sz w:val="52"/>
              </w:rPr>
              <w:t>11 000</w:t>
            </w:r>
          </w:p>
        </w:tc>
        <w:tc>
          <w:tcPr>
            <w:tcW w:w="4606" w:type="dxa"/>
            <w:tcBorders>
              <w:top w:val="nil"/>
              <w:left w:val="single" w:sz="12" w:space="0" w:color="4F81BD"/>
              <w:bottom w:val="single" w:sz="12" w:space="0" w:color="4F81BD"/>
              <w:right w:val="nil"/>
            </w:tcBorders>
            <w:vAlign w:val="center"/>
            <w:hideMark/>
          </w:tcPr>
          <w:p w:rsidR="00605245" w:rsidRPr="00605245" w:rsidRDefault="00605245" w:rsidP="00605245">
            <w:pPr>
              <w:jc w:val="center"/>
              <w:rPr>
                <w:rFonts w:ascii="Calibri" w:eastAsia="Calibri" w:hAnsi="Calibri"/>
                <w:sz w:val="52"/>
              </w:rPr>
            </w:pPr>
            <w:r w:rsidRPr="00605245">
              <w:rPr>
                <w:rFonts w:ascii="Calibri" w:eastAsia="Calibri" w:hAnsi="Calibri"/>
                <w:sz w:val="52"/>
              </w:rPr>
              <w:t>9 800</w:t>
            </w:r>
          </w:p>
        </w:tc>
      </w:tr>
      <w:tr w:rsidR="00605245" w:rsidRPr="00605245" w:rsidTr="00605245">
        <w:tc>
          <w:tcPr>
            <w:tcW w:w="4606" w:type="dxa"/>
            <w:tcBorders>
              <w:top w:val="single" w:sz="12" w:space="0" w:color="4F81BD"/>
              <w:left w:val="nil"/>
              <w:bottom w:val="nil"/>
              <w:right w:val="single" w:sz="12" w:space="0" w:color="4F81BD"/>
            </w:tcBorders>
            <w:vAlign w:val="center"/>
            <w:hideMark/>
          </w:tcPr>
          <w:p w:rsidR="00605245" w:rsidRPr="00605245" w:rsidRDefault="00605245" w:rsidP="00605245">
            <w:pPr>
              <w:jc w:val="center"/>
              <w:rPr>
                <w:rFonts w:ascii="Calibri" w:eastAsia="Calibri" w:hAnsi="Calibri"/>
                <w:sz w:val="32"/>
              </w:rPr>
            </w:pPr>
            <w:r w:rsidRPr="00605245">
              <w:rPr>
                <w:rFonts w:ascii="Calibri" w:eastAsia="Calibri" w:hAnsi="Calibri"/>
                <w:sz w:val="32"/>
              </w:rPr>
              <w:t>województwo pomorskie</w:t>
            </w:r>
          </w:p>
        </w:tc>
        <w:tc>
          <w:tcPr>
            <w:tcW w:w="4606" w:type="dxa"/>
            <w:tcBorders>
              <w:top w:val="single" w:sz="12" w:space="0" w:color="4F81BD"/>
              <w:left w:val="single" w:sz="12" w:space="0" w:color="4F81BD"/>
              <w:bottom w:val="nil"/>
              <w:right w:val="nil"/>
            </w:tcBorders>
            <w:vAlign w:val="center"/>
            <w:hideMark/>
          </w:tcPr>
          <w:p w:rsidR="00605245" w:rsidRPr="00605245" w:rsidRDefault="00605245" w:rsidP="00605245">
            <w:pPr>
              <w:jc w:val="center"/>
              <w:rPr>
                <w:rFonts w:ascii="Calibri" w:eastAsia="Calibri" w:hAnsi="Calibri"/>
                <w:sz w:val="32"/>
              </w:rPr>
            </w:pPr>
            <w:r w:rsidRPr="00605245">
              <w:rPr>
                <w:rFonts w:ascii="Calibri" w:eastAsia="Calibri" w:hAnsi="Calibri"/>
                <w:sz w:val="32"/>
              </w:rPr>
              <w:t>województwo śląskie</w:t>
            </w:r>
          </w:p>
        </w:tc>
      </w:tr>
      <w:tr w:rsidR="00605245" w:rsidRPr="00605245" w:rsidTr="00605245">
        <w:trPr>
          <w:trHeight w:hRule="exact" w:val="1134"/>
        </w:trPr>
        <w:tc>
          <w:tcPr>
            <w:tcW w:w="4606" w:type="dxa"/>
            <w:tcBorders>
              <w:top w:val="nil"/>
              <w:left w:val="nil"/>
              <w:bottom w:val="nil"/>
              <w:right w:val="single" w:sz="12" w:space="0" w:color="4F81BD"/>
            </w:tcBorders>
            <w:vAlign w:val="center"/>
            <w:hideMark/>
          </w:tcPr>
          <w:p w:rsidR="00605245" w:rsidRPr="00605245" w:rsidRDefault="00605245" w:rsidP="00605245">
            <w:pPr>
              <w:jc w:val="center"/>
              <w:rPr>
                <w:rFonts w:ascii="Calibri" w:eastAsia="Calibri" w:hAnsi="Calibri"/>
                <w:sz w:val="52"/>
              </w:rPr>
            </w:pPr>
            <w:r w:rsidRPr="00605245">
              <w:rPr>
                <w:rFonts w:ascii="Calibri" w:eastAsia="Calibri" w:hAnsi="Calibri"/>
                <w:sz w:val="52"/>
              </w:rPr>
              <w:lastRenderedPageBreak/>
              <w:t>8 500</w:t>
            </w:r>
          </w:p>
        </w:tc>
        <w:tc>
          <w:tcPr>
            <w:tcW w:w="4606" w:type="dxa"/>
            <w:tcBorders>
              <w:top w:val="nil"/>
              <w:left w:val="single" w:sz="12" w:space="0" w:color="4F81BD"/>
              <w:bottom w:val="nil"/>
              <w:right w:val="nil"/>
            </w:tcBorders>
            <w:vAlign w:val="center"/>
            <w:hideMark/>
          </w:tcPr>
          <w:p w:rsidR="00605245" w:rsidRPr="00605245" w:rsidRDefault="00605245" w:rsidP="00605245">
            <w:pPr>
              <w:jc w:val="center"/>
              <w:rPr>
                <w:rFonts w:ascii="Calibri" w:eastAsia="Calibri" w:hAnsi="Calibri"/>
                <w:sz w:val="52"/>
              </w:rPr>
            </w:pPr>
            <w:r w:rsidRPr="00605245">
              <w:rPr>
                <w:rFonts w:ascii="Calibri" w:eastAsia="Calibri" w:hAnsi="Calibri"/>
                <w:sz w:val="52"/>
              </w:rPr>
              <w:t>8 200</w:t>
            </w:r>
          </w:p>
        </w:tc>
      </w:tr>
    </w:tbl>
    <w:p w:rsidR="00605245" w:rsidRPr="00605245" w:rsidRDefault="00605245" w:rsidP="00605245">
      <w:pPr>
        <w:spacing w:after="200" w:line="276" w:lineRule="auto"/>
        <w:jc w:val="center"/>
        <w:rPr>
          <w:rFonts w:ascii="Calibri" w:eastAsia="Calibri" w:hAnsi="Calibri"/>
          <w:i/>
          <w:sz w:val="18"/>
          <w:szCs w:val="18"/>
        </w:rPr>
      </w:pPr>
      <w:bookmarkStart w:id="1" w:name="_GoBack"/>
      <w:bookmarkEnd w:id="1"/>
      <w:r w:rsidRPr="00605245">
        <w:rPr>
          <w:rFonts w:ascii="Calibri" w:eastAsia="Calibri" w:hAnsi="Calibri"/>
          <w:i/>
          <w:sz w:val="18"/>
          <w:szCs w:val="18"/>
        </w:rPr>
        <w:t xml:space="preserve">Źródło: Raport płacowy Sedlak </w:t>
      </w:r>
      <w:r w:rsidRPr="00605245">
        <w:rPr>
          <w:rFonts w:ascii="Calibri" w:eastAsia="Calibri" w:hAnsi="Calibri"/>
          <w:i/>
          <w:sz w:val="14"/>
          <w:szCs w:val="18"/>
        </w:rPr>
        <w:t xml:space="preserve">&amp; </w:t>
      </w:r>
      <w:r w:rsidRPr="00605245">
        <w:rPr>
          <w:rFonts w:ascii="Calibri" w:eastAsia="Calibri" w:hAnsi="Calibri"/>
          <w:i/>
          <w:sz w:val="18"/>
          <w:szCs w:val="18"/>
        </w:rPr>
        <w:t>Sedlak dla branży IT 2017</w:t>
      </w:r>
    </w:p>
    <w:p w:rsidR="00605245" w:rsidRPr="00605245" w:rsidRDefault="00605245" w:rsidP="00605245">
      <w:pPr>
        <w:spacing w:after="200" w:line="276" w:lineRule="auto"/>
        <w:jc w:val="both"/>
        <w:rPr>
          <w:rFonts w:ascii="Calibri" w:eastAsia="Calibri" w:hAnsi="Calibri"/>
        </w:rPr>
      </w:pPr>
    </w:p>
    <w:p w:rsidR="00605245" w:rsidRPr="00605245" w:rsidRDefault="00605245" w:rsidP="00605245">
      <w:pPr>
        <w:spacing w:after="200" w:line="276" w:lineRule="auto"/>
        <w:jc w:val="both"/>
        <w:rPr>
          <w:rFonts w:ascii="Calibri" w:eastAsia="Calibri" w:hAnsi="Calibri"/>
        </w:rPr>
      </w:pPr>
      <w:r w:rsidRPr="00605245">
        <w:rPr>
          <w:rFonts w:ascii="Calibri" w:eastAsia="Calibri" w:hAnsi="Calibri"/>
        </w:rPr>
        <w:t>Starsi programiści pracujący w województwie mazowieckim otrzymują wynagrodzenie 11 000 PLN. Specjaliści zatrudnieni w województwie małopolskim zarabiają 1 200 PLN mniej, natomiast programiści z Pomorza otrzymują wynagrodzenie w wysokości 8 500 PLN.</w:t>
      </w:r>
    </w:p>
    <w:p w:rsidR="00605245" w:rsidRPr="00605245" w:rsidRDefault="00605245" w:rsidP="00605245">
      <w:pPr>
        <w:spacing w:after="200" w:line="276" w:lineRule="auto"/>
        <w:jc w:val="both"/>
        <w:rPr>
          <w:rFonts w:ascii="Calibri" w:eastAsia="Calibri" w:hAnsi="Calibri"/>
          <w:b/>
          <w:color w:val="002060"/>
        </w:rPr>
      </w:pPr>
    </w:p>
    <w:p w:rsidR="00605245" w:rsidRPr="00605245" w:rsidRDefault="00605245" w:rsidP="00605245">
      <w:pPr>
        <w:spacing w:after="60" w:line="276" w:lineRule="auto"/>
        <w:jc w:val="both"/>
        <w:rPr>
          <w:rFonts w:ascii="Calibri" w:eastAsia="Calibri" w:hAnsi="Calibri"/>
          <w:b/>
          <w:color w:val="002060"/>
        </w:rPr>
      </w:pPr>
      <w:r w:rsidRPr="00605245">
        <w:rPr>
          <w:rFonts w:ascii="Calibri" w:eastAsia="Calibri" w:hAnsi="Calibri"/>
          <w:b/>
          <w:color w:val="002060"/>
        </w:rPr>
        <w:t>Zarobki programistów w zależności od rodzaju umowy</w:t>
      </w:r>
    </w:p>
    <w:p w:rsidR="00605245" w:rsidRPr="00605245" w:rsidRDefault="00605245" w:rsidP="00605245">
      <w:pPr>
        <w:spacing w:after="200" w:line="276" w:lineRule="auto"/>
        <w:jc w:val="both"/>
        <w:rPr>
          <w:rFonts w:ascii="Calibri" w:eastAsia="Calibri" w:hAnsi="Calibri"/>
        </w:rPr>
      </w:pPr>
      <w:r w:rsidRPr="00605245">
        <w:rPr>
          <w:rFonts w:ascii="Calibri" w:eastAsia="Calibri" w:hAnsi="Calibri"/>
        </w:rPr>
        <w:t xml:space="preserve">Pracodawcy zatrudniający programistów często stosują inne formy umowy niż umowa o pracę. Programiści są zatrudniani również na umowę o dzieło, zlecenie czy kontrakt. W raporcie płacowym Sedlak </w:t>
      </w:r>
      <w:r w:rsidRPr="00605245">
        <w:rPr>
          <w:rFonts w:ascii="Calibri" w:eastAsia="Calibri" w:hAnsi="Calibri"/>
          <w:sz w:val="18"/>
        </w:rPr>
        <w:t>&amp;</w:t>
      </w:r>
      <w:r w:rsidRPr="00605245">
        <w:rPr>
          <w:rFonts w:ascii="Calibri" w:eastAsia="Calibri" w:hAnsi="Calibri"/>
        </w:rPr>
        <w:t xml:space="preserve"> Sedlak dla branży IT 2017 uwzględniono każdą z wymienionych form zatrudnienia.  Najwyższe wynagrodzenie otrzymują starsi programiści zatrudnieni na kontrakcie. Połowa z nich zarabia więcej niż 12 000 PLN.  Dla porównania starsi programiści zatrudnieni na umowę o pracę otrzymują wynagrodzenie o niemal 2 000 PLN  niższe.  </w:t>
      </w:r>
    </w:p>
    <w:p w:rsidR="00605245" w:rsidRPr="00605245" w:rsidRDefault="00605245" w:rsidP="00605245">
      <w:pPr>
        <w:spacing w:line="256" w:lineRule="auto"/>
        <w:jc w:val="center"/>
        <w:rPr>
          <w:rFonts w:ascii="Calibri" w:eastAsia="Calibri" w:hAnsi="Calibri"/>
          <w:b/>
          <w:color w:val="1F497D"/>
        </w:rPr>
      </w:pPr>
      <w:r w:rsidRPr="00605245">
        <w:rPr>
          <w:rFonts w:ascii="Calibri" w:eastAsia="Calibri" w:hAnsi="Calibri"/>
          <w:b/>
          <w:color w:val="1F497D"/>
        </w:rPr>
        <w:t xml:space="preserve">Wykres 2. Mediana wynagrodzenia całkowitego </w:t>
      </w:r>
      <w:r w:rsidRPr="00605245">
        <w:rPr>
          <w:rFonts w:ascii="Calibri" w:eastAsia="Calibri" w:hAnsi="Calibri"/>
          <w:b/>
          <w:color w:val="1F497D"/>
        </w:rPr>
        <w:br/>
        <w:t xml:space="preserve">starszych programistów w zależności od rodzaju umowy </w:t>
      </w:r>
      <w:r w:rsidRPr="00605245">
        <w:rPr>
          <w:rFonts w:ascii="Calibri" w:eastAsia="Calibri" w:hAnsi="Calibri"/>
          <w:b/>
          <w:color w:val="1F497D"/>
        </w:rPr>
        <w:br/>
        <w:t>w przeliczeniu do czterdziestu godzin pracy w tygodniu (brutto, PLN)</w:t>
      </w:r>
    </w:p>
    <w:p w:rsidR="00605245" w:rsidRPr="00605245" w:rsidRDefault="00605245" w:rsidP="00605245">
      <w:pPr>
        <w:spacing w:after="200" w:line="276" w:lineRule="auto"/>
        <w:jc w:val="both"/>
        <w:rPr>
          <w:rFonts w:ascii="Calibri" w:eastAsia="Calibri" w:hAnsi="Calibri"/>
        </w:rPr>
      </w:pPr>
    </w:p>
    <w:p w:rsidR="00605245" w:rsidRPr="00605245" w:rsidRDefault="00605245" w:rsidP="00605245">
      <w:pPr>
        <w:spacing w:after="200" w:line="276" w:lineRule="auto"/>
        <w:jc w:val="center"/>
        <w:rPr>
          <w:rFonts w:ascii="Calibri" w:eastAsia="Calibri" w:hAnsi="Calibri"/>
          <w:color w:val="FF0000"/>
        </w:rPr>
      </w:pPr>
      <w:r w:rsidRPr="00605245">
        <w:rPr>
          <w:rFonts w:ascii="Calibri" w:eastAsia="Calibri" w:hAnsi="Calibri"/>
          <w:noProof/>
          <w:sz w:val="22"/>
          <w:szCs w:val="22"/>
          <w:lang w:eastAsia="pl-PL"/>
        </w:rPr>
        <w:drawing>
          <wp:inline distT="0" distB="0" distL="0" distR="0" wp14:anchorId="0EB95D21" wp14:editId="5FCE4E4A">
            <wp:extent cx="5343525" cy="2343150"/>
            <wp:effectExtent l="0" t="0" r="0" b="0"/>
            <wp:docPr id="10" name="Wykres 4">
              <a:extLst xmlns:a="http://schemas.openxmlformats.org/drawingml/2006/main">
                <a:ext uri="{FF2B5EF4-FFF2-40B4-BE49-F238E27FC236}">
                  <a16:creationId xmlns:lc="http://schemas.openxmlformats.org/drawingml/2006/lockedCanvas"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xmlns:arto="http://schemas.microsoft.com/office/word/2006/arto" id="{2D3C00C1-08A3-4B7B-ADD8-C230A8D62BB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05245" w:rsidRPr="00605245" w:rsidRDefault="00605245" w:rsidP="00605245">
      <w:pPr>
        <w:spacing w:after="200" w:line="276" w:lineRule="auto"/>
        <w:jc w:val="center"/>
        <w:rPr>
          <w:rFonts w:ascii="Calibri" w:eastAsia="Calibri" w:hAnsi="Calibri"/>
          <w:i/>
          <w:sz w:val="18"/>
          <w:szCs w:val="18"/>
        </w:rPr>
      </w:pPr>
      <w:r w:rsidRPr="00605245">
        <w:rPr>
          <w:rFonts w:ascii="Calibri" w:eastAsia="Calibri" w:hAnsi="Calibri"/>
          <w:i/>
          <w:sz w:val="18"/>
          <w:szCs w:val="18"/>
        </w:rPr>
        <w:t xml:space="preserve">Źródło: Raport płacowy Sedlak </w:t>
      </w:r>
      <w:r w:rsidRPr="00605245">
        <w:rPr>
          <w:rFonts w:ascii="Calibri" w:eastAsia="Calibri" w:hAnsi="Calibri"/>
          <w:i/>
          <w:sz w:val="14"/>
          <w:szCs w:val="18"/>
        </w:rPr>
        <w:t xml:space="preserve">&amp; </w:t>
      </w:r>
      <w:r w:rsidRPr="00605245">
        <w:rPr>
          <w:rFonts w:ascii="Calibri" w:eastAsia="Calibri" w:hAnsi="Calibri"/>
          <w:i/>
          <w:sz w:val="18"/>
          <w:szCs w:val="18"/>
        </w:rPr>
        <w:t>Sedlak dla branży IT 2017</w:t>
      </w:r>
    </w:p>
    <w:p w:rsidR="00605245" w:rsidRPr="00605245" w:rsidRDefault="00605245" w:rsidP="00605245">
      <w:pPr>
        <w:spacing w:after="200" w:line="276" w:lineRule="auto"/>
        <w:jc w:val="both"/>
        <w:rPr>
          <w:rFonts w:ascii="Calibri" w:eastAsia="Calibri" w:hAnsi="Calibri"/>
        </w:rPr>
      </w:pPr>
    </w:p>
    <w:p w:rsidR="00605245" w:rsidRPr="00605245" w:rsidRDefault="00605245" w:rsidP="00605245">
      <w:pPr>
        <w:spacing w:after="200" w:line="276" w:lineRule="auto"/>
        <w:jc w:val="both"/>
        <w:rPr>
          <w:rFonts w:ascii="Calibri" w:eastAsia="Calibri" w:hAnsi="Calibri"/>
        </w:rPr>
      </w:pPr>
      <w:r w:rsidRPr="00605245">
        <w:rPr>
          <w:rFonts w:ascii="Calibri" w:eastAsia="Calibri" w:hAnsi="Calibri"/>
        </w:rPr>
        <w:t>W przypadku młodszych programistów czyli pracowników z niedużym, bądź bez doświadczenia, najwyższe wynagrodzenie również otrzymują zatrudnieni na kontrakcie. Połowa  z nich zarabia więcej niż 6 100 PLN. Zatrudnieni na umowę o pracę zarabiają około 1 200 PLN mniej, natomiast pracując na umowę zlecenie otrzymują wynagrodzenie w wysokości 4 000 PLN.</w:t>
      </w:r>
    </w:p>
    <w:p w:rsidR="00605245" w:rsidRPr="00605245" w:rsidRDefault="00605245" w:rsidP="00605245">
      <w:pPr>
        <w:spacing w:line="256" w:lineRule="auto"/>
        <w:jc w:val="center"/>
        <w:rPr>
          <w:rFonts w:ascii="Calibri" w:eastAsia="Calibri" w:hAnsi="Calibri"/>
          <w:b/>
          <w:color w:val="1F497D"/>
        </w:rPr>
      </w:pPr>
      <w:r w:rsidRPr="00605245">
        <w:rPr>
          <w:rFonts w:ascii="Calibri" w:eastAsia="Calibri" w:hAnsi="Calibri"/>
          <w:b/>
          <w:color w:val="1F497D"/>
        </w:rPr>
        <w:t xml:space="preserve">Wykres 3. Mediana wynagrodzenia całkowitego </w:t>
      </w:r>
      <w:r w:rsidRPr="00605245">
        <w:rPr>
          <w:rFonts w:ascii="Calibri" w:eastAsia="Calibri" w:hAnsi="Calibri"/>
          <w:b/>
          <w:color w:val="1F497D"/>
        </w:rPr>
        <w:br/>
        <w:t xml:space="preserve">młodszych programistów w zależności od rodzaju umowy </w:t>
      </w:r>
      <w:r w:rsidRPr="00605245">
        <w:rPr>
          <w:rFonts w:ascii="Calibri" w:eastAsia="Calibri" w:hAnsi="Calibri"/>
          <w:b/>
          <w:color w:val="1F497D"/>
        </w:rPr>
        <w:br/>
        <w:t xml:space="preserve">w przeliczeniu do czterdziestu godzin pracy w tygodniu (brutto, PLN) </w:t>
      </w:r>
    </w:p>
    <w:p w:rsidR="00605245" w:rsidRPr="00605245" w:rsidRDefault="00605245" w:rsidP="00605245">
      <w:pPr>
        <w:spacing w:after="200" w:line="276" w:lineRule="auto"/>
        <w:jc w:val="center"/>
        <w:rPr>
          <w:rFonts w:ascii="Calibri" w:eastAsia="Calibri" w:hAnsi="Calibri"/>
          <w:sz w:val="22"/>
          <w:szCs w:val="22"/>
          <w:lang w:eastAsia="pl-PL"/>
        </w:rPr>
      </w:pPr>
      <w:r w:rsidRPr="00605245">
        <w:rPr>
          <w:rFonts w:ascii="Calibri" w:eastAsia="Calibri" w:hAnsi="Calibri"/>
          <w:noProof/>
          <w:sz w:val="22"/>
          <w:szCs w:val="22"/>
          <w:lang w:eastAsia="pl-PL"/>
        </w:rPr>
        <w:drawing>
          <wp:inline distT="0" distB="0" distL="0" distR="0" wp14:anchorId="78366612" wp14:editId="150BBE89">
            <wp:extent cx="5238750" cy="2419350"/>
            <wp:effectExtent l="0" t="0" r="0" b="0"/>
            <wp:docPr id="11" name="Wykres 6">
              <a:extLst xmlns:a="http://schemas.openxmlformats.org/drawingml/2006/main">
                <a:ext uri="{FF2B5EF4-FFF2-40B4-BE49-F238E27FC236}">
                  <a16:creationId xmlns:lc="http://schemas.openxmlformats.org/drawingml/2006/lockedCanvas"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xmlns:arto="http://schemas.microsoft.com/office/word/2006/arto" id="{DB6BECB4-BDA6-4640-9C77-AB2980047C8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05245" w:rsidRPr="00605245" w:rsidRDefault="00605245" w:rsidP="00605245">
      <w:pPr>
        <w:spacing w:after="200" w:line="276" w:lineRule="auto"/>
        <w:jc w:val="center"/>
        <w:rPr>
          <w:rFonts w:ascii="Calibri" w:eastAsia="Calibri" w:hAnsi="Calibri"/>
          <w:i/>
          <w:sz w:val="18"/>
          <w:szCs w:val="18"/>
        </w:rPr>
      </w:pPr>
      <w:r w:rsidRPr="00605245">
        <w:rPr>
          <w:rFonts w:ascii="Calibri" w:eastAsia="Calibri" w:hAnsi="Calibri"/>
          <w:i/>
          <w:sz w:val="18"/>
          <w:szCs w:val="18"/>
        </w:rPr>
        <w:t xml:space="preserve">Źródło: Raport płacowy Sedlak </w:t>
      </w:r>
      <w:r w:rsidRPr="00605245">
        <w:rPr>
          <w:rFonts w:ascii="Calibri" w:eastAsia="Calibri" w:hAnsi="Calibri"/>
          <w:i/>
          <w:sz w:val="14"/>
          <w:szCs w:val="18"/>
        </w:rPr>
        <w:t xml:space="preserve">&amp; </w:t>
      </w:r>
      <w:r w:rsidRPr="00605245">
        <w:rPr>
          <w:rFonts w:ascii="Calibri" w:eastAsia="Calibri" w:hAnsi="Calibri"/>
          <w:i/>
          <w:sz w:val="18"/>
          <w:szCs w:val="18"/>
        </w:rPr>
        <w:t>Sedlak dla branży IT 2017</w:t>
      </w:r>
    </w:p>
    <w:p w:rsidR="00605245" w:rsidRPr="00605245" w:rsidRDefault="00605245" w:rsidP="00605245">
      <w:pPr>
        <w:spacing w:after="60" w:line="276" w:lineRule="auto"/>
        <w:jc w:val="both"/>
        <w:rPr>
          <w:rFonts w:ascii="Calibri" w:eastAsia="Calibri" w:hAnsi="Calibri"/>
          <w:b/>
          <w:color w:val="002060"/>
        </w:rPr>
      </w:pPr>
    </w:p>
    <w:p w:rsidR="00605245" w:rsidRPr="00605245" w:rsidRDefault="00605245" w:rsidP="00605245">
      <w:pPr>
        <w:spacing w:after="60" w:line="276" w:lineRule="auto"/>
        <w:jc w:val="both"/>
        <w:rPr>
          <w:rFonts w:ascii="Calibri" w:eastAsia="Calibri" w:hAnsi="Calibri"/>
          <w:b/>
          <w:color w:val="002060"/>
        </w:rPr>
      </w:pPr>
      <w:r w:rsidRPr="00605245">
        <w:rPr>
          <w:rFonts w:ascii="Calibri" w:eastAsia="Calibri" w:hAnsi="Calibri"/>
          <w:b/>
          <w:color w:val="002060"/>
        </w:rPr>
        <w:t>Programiści a profil działalności firmy IT</w:t>
      </w:r>
    </w:p>
    <w:p w:rsidR="00605245" w:rsidRPr="00605245" w:rsidRDefault="00605245" w:rsidP="00605245">
      <w:pPr>
        <w:spacing w:after="200" w:line="276" w:lineRule="auto"/>
        <w:jc w:val="both"/>
        <w:rPr>
          <w:rFonts w:ascii="Calibri" w:eastAsia="Calibri" w:hAnsi="Calibri"/>
          <w:b/>
          <w:color w:val="002060"/>
        </w:rPr>
      </w:pPr>
      <w:bookmarkStart w:id="2" w:name="_Hlk485204801"/>
      <w:r w:rsidRPr="00605245">
        <w:rPr>
          <w:rFonts w:ascii="Calibri" w:eastAsia="Calibri" w:hAnsi="Calibri"/>
        </w:rPr>
        <w:t xml:space="preserve">W raporcie płacowym Sedlak </w:t>
      </w:r>
      <w:r w:rsidRPr="00605245">
        <w:rPr>
          <w:rFonts w:ascii="Calibri" w:eastAsia="Calibri" w:hAnsi="Calibri"/>
          <w:sz w:val="18"/>
        </w:rPr>
        <w:t>&amp;</w:t>
      </w:r>
      <w:r w:rsidRPr="00605245">
        <w:rPr>
          <w:rFonts w:ascii="Calibri" w:eastAsia="Calibri" w:hAnsi="Calibri"/>
        </w:rPr>
        <w:t xml:space="preserve"> Sedlak dla branży IT 2017 podzielono firmy IT ze względu na profil działalności. Wyróżniono </w:t>
      </w:r>
      <w:bookmarkEnd w:id="2"/>
      <w:r w:rsidRPr="00605245">
        <w:rPr>
          <w:rFonts w:ascii="Calibri" w:eastAsia="Calibri" w:hAnsi="Calibri"/>
        </w:rPr>
        <w:t xml:space="preserve">sektor finansowy, usługi i sofware. Najwyższe wynagrodzenie otrzymują starsi programiści zatrudnieni w firmach IT działających w sektorze finansowym – połowa z nich otrzymuje wynagrodzenie większe niż 12 600 PLN. Niewielkie różnice występują pomiędzy zatrudnionymi w firmach IT działających w sektorze usług (10 100 PLN) i software (10 000 PLN). </w:t>
      </w:r>
    </w:p>
    <w:p w:rsidR="00605245" w:rsidRPr="00605245" w:rsidRDefault="00605245" w:rsidP="00605245">
      <w:pPr>
        <w:spacing w:line="256" w:lineRule="auto"/>
        <w:jc w:val="center"/>
        <w:rPr>
          <w:rFonts w:ascii="Calibri" w:eastAsia="Calibri" w:hAnsi="Calibri"/>
          <w:b/>
          <w:color w:val="1F497D"/>
        </w:rPr>
      </w:pPr>
      <w:r w:rsidRPr="00605245">
        <w:rPr>
          <w:rFonts w:ascii="Calibri" w:eastAsia="Calibri" w:hAnsi="Calibri"/>
          <w:b/>
          <w:color w:val="1F497D"/>
        </w:rPr>
        <w:t xml:space="preserve">Schemat 2. Mediana wynagrodzenia całkowitego starszych programistów </w:t>
      </w:r>
      <w:r w:rsidRPr="00605245">
        <w:rPr>
          <w:rFonts w:ascii="Calibri" w:eastAsia="Calibri" w:hAnsi="Calibri"/>
          <w:b/>
          <w:color w:val="1F497D"/>
        </w:rPr>
        <w:br/>
        <w:t>zatrudnionych na umowę o pracę w firmach IT o różnym profilu działalności (brutto, PLN)</w:t>
      </w:r>
    </w:p>
    <w:p w:rsidR="00605245" w:rsidRPr="00605245" w:rsidRDefault="00605245" w:rsidP="00605245">
      <w:pPr>
        <w:spacing w:after="200" w:line="276" w:lineRule="auto"/>
        <w:jc w:val="both"/>
        <w:rPr>
          <w:rFonts w:ascii="Calibri" w:eastAsia="Calibri" w:hAnsi="Calibri"/>
          <w:b/>
          <w:color w:val="002060"/>
        </w:rPr>
      </w:pPr>
    </w:p>
    <w:tbl>
      <w:tblPr>
        <w:tblStyle w:val="Tabela-Siatka6"/>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5"/>
        <w:gridCol w:w="2616"/>
        <w:gridCol w:w="2869"/>
      </w:tblGrid>
      <w:tr w:rsidR="00605245" w:rsidRPr="00605245" w:rsidTr="00605245">
        <w:trPr>
          <w:trHeight w:val="932"/>
        </w:trPr>
        <w:tc>
          <w:tcPr>
            <w:tcW w:w="3070" w:type="dxa"/>
            <w:tcBorders>
              <w:top w:val="nil"/>
              <w:left w:val="nil"/>
              <w:bottom w:val="single" w:sz="18" w:space="0" w:color="4F81BD"/>
              <w:right w:val="nil"/>
            </w:tcBorders>
            <w:vAlign w:val="center"/>
            <w:hideMark/>
          </w:tcPr>
          <w:p w:rsidR="00605245" w:rsidRPr="00605245" w:rsidRDefault="00605245" w:rsidP="00605245">
            <w:pPr>
              <w:jc w:val="center"/>
              <w:rPr>
                <w:rFonts w:ascii="Calibri" w:eastAsia="Calibri" w:hAnsi="Calibri"/>
                <w:sz w:val="40"/>
              </w:rPr>
            </w:pPr>
            <w:r w:rsidRPr="00605245">
              <w:rPr>
                <w:rFonts w:ascii="Calibri" w:eastAsia="Calibri" w:hAnsi="Calibri"/>
                <w:sz w:val="40"/>
              </w:rPr>
              <w:lastRenderedPageBreak/>
              <w:t>12 600</w:t>
            </w:r>
          </w:p>
        </w:tc>
        <w:tc>
          <w:tcPr>
            <w:tcW w:w="3071" w:type="dxa"/>
            <w:tcBorders>
              <w:top w:val="nil"/>
              <w:left w:val="nil"/>
              <w:bottom w:val="single" w:sz="18" w:space="0" w:color="4F81BD"/>
              <w:right w:val="nil"/>
            </w:tcBorders>
            <w:vAlign w:val="center"/>
            <w:hideMark/>
          </w:tcPr>
          <w:p w:rsidR="00605245" w:rsidRPr="00605245" w:rsidRDefault="00605245" w:rsidP="00605245">
            <w:pPr>
              <w:jc w:val="center"/>
              <w:rPr>
                <w:rFonts w:ascii="Calibri" w:eastAsia="Calibri" w:hAnsi="Calibri"/>
                <w:sz w:val="40"/>
              </w:rPr>
            </w:pPr>
            <w:r w:rsidRPr="00605245">
              <w:rPr>
                <w:rFonts w:ascii="Calibri" w:eastAsia="Calibri" w:hAnsi="Calibri"/>
                <w:sz w:val="40"/>
              </w:rPr>
              <w:t>10 100</w:t>
            </w:r>
          </w:p>
        </w:tc>
        <w:tc>
          <w:tcPr>
            <w:tcW w:w="3071" w:type="dxa"/>
            <w:tcBorders>
              <w:top w:val="nil"/>
              <w:left w:val="nil"/>
              <w:bottom w:val="single" w:sz="18" w:space="0" w:color="4F81BD"/>
              <w:right w:val="nil"/>
            </w:tcBorders>
            <w:vAlign w:val="center"/>
            <w:hideMark/>
          </w:tcPr>
          <w:p w:rsidR="00605245" w:rsidRPr="00605245" w:rsidRDefault="00605245" w:rsidP="00605245">
            <w:pPr>
              <w:jc w:val="center"/>
              <w:rPr>
                <w:rFonts w:ascii="Calibri" w:eastAsia="Calibri" w:hAnsi="Calibri"/>
                <w:sz w:val="40"/>
              </w:rPr>
            </w:pPr>
            <w:r w:rsidRPr="00605245">
              <w:rPr>
                <w:rFonts w:ascii="Calibri" w:eastAsia="Calibri" w:hAnsi="Calibri"/>
                <w:sz w:val="40"/>
              </w:rPr>
              <w:t>10 000</w:t>
            </w:r>
          </w:p>
        </w:tc>
      </w:tr>
      <w:tr w:rsidR="00605245" w:rsidRPr="00605245" w:rsidTr="00605245">
        <w:trPr>
          <w:trHeight w:val="1534"/>
        </w:trPr>
        <w:tc>
          <w:tcPr>
            <w:tcW w:w="3070" w:type="dxa"/>
            <w:tcBorders>
              <w:top w:val="single" w:sz="18" w:space="0" w:color="4F81BD"/>
              <w:left w:val="nil"/>
              <w:bottom w:val="nil"/>
              <w:right w:val="nil"/>
            </w:tcBorders>
            <w:vAlign w:val="center"/>
            <w:hideMark/>
          </w:tcPr>
          <w:p w:rsidR="00605245" w:rsidRPr="00605245" w:rsidRDefault="00605245" w:rsidP="00605245">
            <w:pPr>
              <w:jc w:val="center"/>
              <w:rPr>
                <w:rFonts w:ascii="Calibri" w:eastAsia="Calibri" w:hAnsi="Calibri"/>
                <w:b/>
                <w:color w:val="0070C0"/>
              </w:rPr>
            </w:pPr>
            <w:r w:rsidRPr="00605245">
              <w:rPr>
                <w:rFonts w:ascii="Calibri" w:eastAsia="Calibri" w:hAnsi="Calibri"/>
                <w:b/>
                <w:noProof/>
                <w:color w:val="0070C0"/>
                <w:lang w:eastAsia="pl-PL"/>
              </w:rPr>
              <w:drawing>
                <wp:inline distT="0" distB="0" distL="0" distR="0" wp14:anchorId="59F6AB63" wp14:editId="4112545A">
                  <wp:extent cx="914400" cy="914400"/>
                  <wp:effectExtent l="0" t="0" r="0" b="0"/>
                  <wp:docPr id="12" name="Grafika 5" descr="Mone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 5" descr="Monet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3071" w:type="dxa"/>
            <w:tcBorders>
              <w:top w:val="single" w:sz="18" w:space="0" w:color="4F81BD"/>
              <w:left w:val="nil"/>
              <w:bottom w:val="nil"/>
              <w:right w:val="nil"/>
            </w:tcBorders>
            <w:vAlign w:val="center"/>
            <w:hideMark/>
          </w:tcPr>
          <w:p w:rsidR="00605245" w:rsidRPr="00605245" w:rsidRDefault="00605245" w:rsidP="00605245">
            <w:pPr>
              <w:jc w:val="center"/>
              <w:rPr>
                <w:rFonts w:ascii="Arial" w:eastAsia="Calibri" w:hAnsi="Arial" w:cs="Arial"/>
                <w:b/>
              </w:rPr>
            </w:pPr>
            <w:r w:rsidRPr="00605245">
              <w:rPr>
                <w:rFonts w:ascii="Arial" w:eastAsia="Calibri" w:hAnsi="Arial" w:cs="Arial"/>
                <w:b/>
                <w:sz w:val="96"/>
              </w:rPr>
              <w:t>@</w:t>
            </w:r>
          </w:p>
        </w:tc>
        <w:tc>
          <w:tcPr>
            <w:tcW w:w="3071" w:type="dxa"/>
            <w:tcBorders>
              <w:top w:val="single" w:sz="18" w:space="0" w:color="4F81BD"/>
              <w:left w:val="nil"/>
              <w:bottom w:val="nil"/>
              <w:right w:val="nil"/>
            </w:tcBorders>
            <w:vAlign w:val="center"/>
            <w:hideMark/>
          </w:tcPr>
          <w:p w:rsidR="00605245" w:rsidRPr="00605245" w:rsidRDefault="00605245" w:rsidP="00605245">
            <w:pPr>
              <w:jc w:val="center"/>
              <w:rPr>
                <w:rFonts w:ascii="Consolas" w:eastAsia="Calibri" w:hAnsi="Consolas"/>
                <w:b/>
                <w:sz w:val="52"/>
              </w:rPr>
            </w:pPr>
            <w:r w:rsidRPr="00605245">
              <w:rPr>
                <w:rFonts w:ascii="Consolas" w:eastAsia="Calibri" w:hAnsi="Consolas" w:cs="Courier New"/>
                <w:sz w:val="52"/>
                <w:szCs w:val="27"/>
              </w:rPr>
              <w:t>&lt;/html&gt;</w:t>
            </w:r>
          </w:p>
        </w:tc>
      </w:tr>
      <w:tr w:rsidR="00605245" w:rsidRPr="00605245" w:rsidTr="00605245">
        <w:trPr>
          <w:trHeight w:val="169"/>
        </w:trPr>
        <w:tc>
          <w:tcPr>
            <w:tcW w:w="3070" w:type="dxa"/>
            <w:vAlign w:val="center"/>
            <w:hideMark/>
          </w:tcPr>
          <w:p w:rsidR="00605245" w:rsidRPr="00605245" w:rsidRDefault="00605245" w:rsidP="00605245">
            <w:pPr>
              <w:jc w:val="center"/>
              <w:rPr>
                <w:rFonts w:ascii="Calibri" w:eastAsia="Calibri" w:hAnsi="Calibri"/>
                <w:sz w:val="32"/>
              </w:rPr>
            </w:pPr>
            <w:r w:rsidRPr="00605245">
              <w:rPr>
                <w:rFonts w:ascii="Calibri" w:eastAsia="Calibri" w:hAnsi="Calibri"/>
                <w:sz w:val="32"/>
              </w:rPr>
              <w:t>sektor finansowy</w:t>
            </w:r>
          </w:p>
        </w:tc>
        <w:tc>
          <w:tcPr>
            <w:tcW w:w="3071" w:type="dxa"/>
            <w:vAlign w:val="center"/>
            <w:hideMark/>
          </w:tcPr>
          <w:p w:rsidR="00605245" w:rsidRPr="00605245" w:rsidRDefault="00605245" w:rsidP="00605245">
            <w:pPr>
              <w:jc w:val="center"/>
              <w:rPr>
                <w:rFonts w:ascii="Calibri" w:eastAsia="Calibri" w:hAnsi="Calibri"/>
                <w:sz w:val="32"/>
              </w:rPr>
            </w:pPr>
            <w:r w:rsidRPr="00605245">
              <w:rPr>
                <w:rFonts w:ascii="Calibri" w:eastAsia="Calibri" w:hAnsi="Calibri"/>
                <w:sz w:val="32"/>
              </w:rPr>
              <w:t>usługi</w:t>
            </w:r>
          </w:p>
        </w:tc>
        <w:tc>
          <w:tcPr>
            <w:tcW w:w="3071" w:type="dxa"/>
            <w:vAlign w:val="center"/>
            <w:hideMark/>
          </w:tcPr>
          <w:p w:rsidR="00605245" w:rsidRPr="00605245" w:rsidRDefault="00605245" w:rsidP="00605245">
            <w:pPr>
              <w:jc w:val="center"/>
              <w:rPr>
                <w:rFonts w:ascii="Calibri" w:eastAsia="Calibri" w:hAnsi="Calibri"/>
                <w:sz w:val="32"/>
              </w:rPr>
            </w:pPr>
            <w:r w:rsidRPr="00605245">
              <w:rPr>
                <w:rFonts w:ascii="Calibri" w:eastAsia="Calibri" w:hAnsi="Calibri"/>
                <w:sz w:val="32"/>
              </w:rPr>
              <w:t>software</w:t>
            </w:r>
          </w:p>
        </w:tc>
      </w:tr>
    </w:tbl>
    <w:p w:rsidR="00605245" w:rsidRPr="00605245" w:rsidRDefault="00605245" w:rsidP="00605245">
      <w:pPr>
        <w:spacing w:after="200" w:line="276" w:lineRule="auto"/>
        <w:jc w:val="center"/>
        <w:rPr>
          <w:rFonts w:ascii="Calibri" w:eastAsia="Calibri" w:hAnsi="Calibri"/>
          <w:i/>
          <w:sz w:val="6"/>
          <w:szCs w:val="6"/>
        </w:rPr>
      </w:pPr>
    </w:p>
    <w:p w:rsidR="00605245" w:rsidRPr="00605245" w:rsidRDefault="00605245" w:rsidP="00605245">
      <w:pPr>
        <w:spacing w:after="200" w:line="276" w:lineRule="auto"/>
        <w:jc w:val="center"/>
        <w:rPr>
          <w:rFonts w:ascii="Calibri" w:eastAsia="Calibri" w:hAnsi="Calibri"/>
          <w:i/>
          <w:sz w:val="18"/>
          <w:szCs w:val="18"/>
        </w:rPr>
      </w:pPr>
      <w:r w:rsidRPr="00605245">
        <w:rPr>
          <w:rFonts w:ascii="Calibri" w:eastAsia="Calibri" w:hAnsi="Calibri"/>
          <w:i/>
          <w:sz w:val="18"/>
          <w:szCs w:val="18"/>
        </w:rPr>
        <w:t xml:space="preserve">Źródło: Raport płacowy Sedlak </w:t>
      </w:r>
      <w:r w:rsidRPr="00605245">
        <w:rPr>
          <w:rFonts w:ascii="Calibri" w:eastAsia="Calibri" w:hAnsi="Calibri"/>
          <w:i/>
          <w:sz w:val="14"/>
          <w:szCs w:val="18"/>
        </w:rPr>
        <w:t xml:space="preserve">&amp; </w:t>
      </w:r>
      <w:r w:rsidRPr="00605245">
        <w:rPr>
          <w:rFonts w:ascii="Calibri" w:eastAsia="Calibri" w:hAnsi="Calibri"/>
          <w:i/>
          <w:sz w:val="18"/>
          <w:szCs w:val="18"/>
        </w:rPr>
        <w:t>Sedlak dla branży IT 2017</w:t>
      </w:r>
    </w:p>
    <w:p w:rsidR="00605245" w:rsidRPr="00605245" w:rsidRDefault="00605245" w:rsidP="00605245">
      <w:pPr>
        <w:spacing w:after="200" w:line="276" w:lineRule="auto"/>
        <w:jc w:val="both"/>
        <w:rPr>
          <w:rFonts w:ascii="Calibri" w:eastAsia="Calibri" w:hAnsi="Calibri"/>
          <w:b/>
          <w:color w:val="002060"/>
        </w:rPr>
      </w:pPr>
    </w:p>
    <w:p w:rsidR="00605245" w:rsidRPr="00605245" w:rsidRDefault="00605245" w:rsidP="00605245">
      <w:pPr>
        <w:spacing w:after="60" w:line="276" w:lineRule="auto"/>
        <w:jc w:val="both"/>
        <w:rPr>
          <w:rFonts w:ascii="Calibri" w:eastAsia="Calibri" w:hAnsi="Calibri"/>
          <w:b/>
          <w:color w:val="002060"/>
        </w:rPr>
      </w:pPr>
      <w:r w:rsidRPr="00605245">
        <w:rPr>
          <w:rFonts w:ascii="Calibri" w:eastAsia="Calibri" w:hAnsi="Calibri"/>
          <w:b/>
          <w:color w:val="002060"/>
        </w:rPr>
        <w:t>Podsumowanie</w:t>
      </w:r>
    </w:p>
    <w:p w:rsidR="00605245" w:rsidRPr="00605245" w:rsidRDefault="00605245" w:rsidP="00605245">
      <w:pPr>
        <w:spacing w:after="200" w:line="276" w:lineRule="auto"/>
        <w:jc w:val="both"/>
        <w:rPr>
          <w:rFonts w:ascii="Calibri" w:eastAsia="Calibri" w:hAnsi="Calibri"/>
          <w:b/>
          <w:color w:val="002060"/>
        </w:rPr>
      </w:pPr>
      <w:r w:rsidRPr="00605245">
        <w:rPr>
          <w:rFonts w:ascii="Calibri" w:eastAsia="Calibri" w:hAnsi="Calibri"/>
        </w:rPr>
        <w:t xml:space="preserve">W powyższym artykule przedstawiono wynagrodzenie programistów w zależności od technologii w jakiej pracują, województwa, w którym zlokalizowana jest firma, rodzaju podpisanej umowy i profilu działalności firmy IT. Więcej informacji na temat wynagrodzenia programistów, a także innych pracowników firm IT znajdą Państwo w </w:t>
      </w:r>
      <w:hyperlink r:id="rId14" w:history="1">
        <w:r w:rsidRPr="00605245">
          <w:rPr>
            <w:rFonts w:ascii="Calibri" w:eastAsia="Calibri" w:hAnsi="Calibri"/>
            <w:color w:val="0000FF"/>
            <w:u w:val="single"/>
          </w:rPr>
          <w:t xml:space="preserve">Raporcie płacowym Sedlak </w:t>
        </w:r>
        <w:r w:rsidRPr="00605245">
          <w:rPr>
            <w:rFonts w:ascii="Calibri" w:eastAsia="Calibri" w:hAnsi="Calibri"/>
            <w:color w:val="0000FF"/>
            <w:sz w:val="20"/>
            <w:u w:val="single"/>
          </w:rPr>
          <w:t>&amp;</w:t>
        </w:r>
        <w:r w:rsidRPr="00605245">
          <w:rPr>
            <w:rFonts w:ascii="Calibri" w:eastAsia="Calibri" w:hAnsi="Calibri"/>
            <w:color w:val="0000FF"/>
            <w:u w:val="single"/>
          </w:rPr>
          <w:t xml:space="preserve"> Sedlak dla branży IT.</w:t>
        </w:r>
      </w:hyperlink>
    </w:p>
    <w:p w:rsidR="00A31385" w:rsidRPr="0058086E" w:rsidRDefault="00A31385" w:rsidP="0058086E">
      <w:pPr>
        <w:pStyle w:val="tekstsedlak"/>
      </w:pPr>
    </w:p>
    <w:p w:rsidR="0000005A" w:rsidRPr="00A217F4" w:rsidRDefault="0000005A" w:rsidP="00BC1378">
      <w:pPr>
        <w:spacing w:line="276" w:lineRule="auto"/>
        <w:rPr>
          <w:rFonts w:asciiTheme="minorHAnsi" w:eastAsiaTheme="minorHAnsi" w:hAnsiTheme="minorHAnsi"/>
          <w:lang w:eastAsia="pl-PL"/>
        </w:rPr>
      </w:pPr>
    </w:p>
    <w:p w:rsidR="00C755CB" w:rsidRPr="00A217F4" w:rsidRDefault="003D0853" w:rsidP="00BC1378">
      <w:pPr>
        <w:pStyle w:val="aboutus"/>
        <w:spacing w:line="276" w:lineRule="auto"/>
        <w:ind w:left="0"/>
        <w:rPr>
          <w:rFonts w:asciiTheme="minorHAnsi" w:hAnsiTheme="minorHAnsi"/>
          <w:sz w:val="20"/>
          <w:szCs w:val="18"/>
        </w:rPr>
      </w:pPr>
      <w:r>
        <w:rPr>
          <w:rFonts w:asciiTheme="minorHAnsi" w:hAnsiTheme="minorHAnsi"/>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36830</wp:posOffset>
                </wp:positionV>
                <wp:extent cx="5219700" cy="635"/>
                <wp:effectExtent l="0" t="0" r="19050" b="3746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635"/>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A46BCC" id="_x0000_t32" coordsize="21600,21600" o:spt="32" o:oned="t" path="m,l21600,21600e" filled="f">
                <v:path arrowok="t" fillok="f" o:connecttype="none"/>
                <o:lock v:ext="edit" shapetype="t"/>
              </v:shapetype>
              <v:shape id="AutoShape 5" o:spid="_x0000_s1026" type="#_x0000_t32" style="position:absolute;margin-left:0;margin-top:2.9pt;width:411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" strokecolor="#54628d" strokeweight="1.5pt"/>
            </w:pict>
          </mc:Fallback>
        </mc:AlternateConten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rPr>
        <w:drawing>
          <wp:inline distT="0" distB="0" distL="0" distR="0">
            <wp:extent cx="1619250" cy="200025"/>
            <wp:effectExtent l="0" t="0" r="0" b="0"/>
            <wp:docPr id="2" name="Obraz 2" descr="logo_wynagrodzenia">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974B4" w:rsidRPr="0058086E" w:rsidRDefault="00EA72FE" w:rsidP="0058086E">
      <w:pPr>
        <w:autoSpaceDE w:val="0"/>
        <w:autoSpaceDN w:val="0"/>
        <w:adjustRightInd w:val="0"/>
        <w:spacing w:before="240"/>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linku do strony Ogól</w:t>
      </w:r>
      <w:r w:rsidR="00070AED" w:rsidRPr="00A217F4">
        <w:rPr>
          <w:rFonts w:asciiTheme="minorHAnsi" w:eastAsia="Calibri" w:hAnsiTheme="minorHAnsi" w:cs="Calibri"/>
          <w:b/>
          <w:sz w:val="22"/>
          <w:lang w:eastAsia="pl-PL"/>
        </w:rPr>
        <w:t>nopo</w:t>
      </w:r>
      <w:r w:rsidR="00877EA4">
        <w:rPr>
          <w:rFonts w:asciiTheme="minorHAnsi" w:eastAsia="Calibri" w:hAnsiTheme="minorHAnsi" w:cs="Calibri"/>
          <w:b/>
          <w:sz w:val="22"/>
          <w:lang w:eastAsia="pl-PL"/>
        </w:rPr>
        <w:t xml:space="preserve">lskiego Badania Wynagrodzeń </w:t>
      </w:r>
      <w:r w:rsidRPr="00A217F4">
        <w:rPr>
          <w:rFonts w:asciiTheme="minorHAnsi" w:eastAsia="Calibri" w:hAnsiTheme="minorHAnsi" w:cs="Calibri"/>
          <w:b/>
          <w:sz w:val="22"/>
          <w:lang w:eastAsia="pl-PL"/>
        </w:rPr>
        <w:t>(</w:t>
      </w:r>
      <w:hyperlink r:id="rId17" w:history="1">
        <w:r w:rsidR="000220E7" w:rsidRPr="000220E7">
          <w:rPr>
            <w:rStyle w:val="Hipercze"/>
            <w:rFonts w:ascii="Calibri" w:eastAsia="Calibri" w:hAnsi="Calibri" w:cs="Calibri"/>
            <w:b/>
            <w:bCs/>
            <w:sz w:val="22"/>
            <w:szCs w:val="22"/>
            <w:lang w:eastAsia="pl-PL"/>
          </w:rPr>
          <w:t>http://wynagrodzenia.pl/</w:t>
        </w:r>
        <w:r w:rsidR="000220E7" w:rsidRPr="000220E7">
          <w:rPr>
            <w:rStyle w:val="Hipercze"/>
            <w:rFonts w:ascii="Helv" w:eastAsia="Calibri" w:hAnsi="Helv" w:cs="Helv"/>
            <w:b/>
            <w:bCs/>
            <w:sz w:val="20"/>
            <w:szCs w:val="20"/>
            <w:lang w:eastAsia="pl-PL"/>
          </w:rPr>
          <w:t>t/ogolnopolskie-badanie-wynagrodzen-np</w:t>
        </w:r>
      </w:hyperlink>
      <w:r w:rsidRPr="00A217F4">
        <w:rPr>
          <w:rFonts w:asciiTheme="minorHAnsi" w:eastAsia="Calibri" w:hAnsiTheme="minorHAnsi" w:cs="Calibri"/>
          <w:b/>
          <w:sz w:val="22"/>
          <w:lang w:eastAsia="pl-PL"/>
        </w:rPr>
        <w:t xml:space="preserve">) czcionką nie mniejszą niż czcionka użyta w publikacji. </w:t>
      </w:r>
    </w:p>
    <w:sectPr w:rsidR="003974B4" w:rsidRPr="0058086E" w:rsidSect="00E107E8">
      <w:headerReference w:type="default" r:id="rId18"/>
      <w:footerReference w:type="default" r:id="rId19"/>
      <w:pgSz w:w="11906" w:h="16838"/>
      <w:pgMar w:top="1950" w:right="1418" w:bottom="1985" w:left="226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E49" w:rsidRDefault="00583E49">
      <w:r>
        <w:separator/>
      </w:r>
    </w:p>
  </w:endnote>
  <w:endnote w:type="continuationSeparator" w:id="0">
    <w:p w:rsidR="00583E49" w:rsidRDefault="0058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00006FF" w:usb1="0000FCFF" w:usb2="00000001"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3D085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simplePos x="0" y="0"/>
              <wp:positionH relativeFrom="column">
                <wp:posOffset>-127635</wp:posOffset>
              </wp:positionH>
              <wp:positionV relativeFrom="paragraph">
                <wp:posOffset>-16510</wp:posOffset>
              </wp:positionV>
              <wp:extent cx="635" cy="862965"/>
              <wp:effectExtent l="0" t="0" r="37465" b="3238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3267E9"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E49" w:rsidRDefault="00583E49">
      <w:r>
        <w:separator/>
      </w:r>
    </w:p>
  </w:footnote>
  <w:footnote w:type="continuationSeparator" w:id="0">
    <w:p w:rsidR="00583E49" w:rsidRDefault="00583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eastAsia="pl-PL"/>
      </w:rPr>
      <w:drawing>
        <wp:anchor distT="0" distB="0" distL="114300" distR="114300" simplePos="0" relativeHeight="251656704" behindDoc="0" locked="0" layoutInCell="1" allowOverlap="1">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3D0853">
      <w:rPr>
        <w:rFonts w:ascii="Arial" w:hAnsi="Arial" w:cs="Arial"/>
        <w:noProof/>
        <w:color w:val="4F648B"/>
        <w:sz w:val="12"/>
        <w:szCs w:val="12"/>
        <w:lang w:eastAsia="pl-PL"/>
      </w:rPr>
      <mc:AlternateContent>
        <mc:Choice Requires="wps">
          <w:drawing>
            <wp:anchor distT="0" distB="0" distL="114298" distR="114298" simplePos="0" relativeHeight="251658752" behindDoc="0" locked="0" layoutInCell="1" allowOverlap="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6A45B7"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7"/>
  </w:num>
  <w:num w:numId="4">
    <w:abstractNumId w:val="13"/>
  </w:num>
  <w:num w:numId="5">
    <w:abstractNumId w:val="10"/>
  </w:num>
  <w:num w:numId="6">
    <w:abstractNumId w:val="22"/>
  </w:num>
  <w:num w:numId="7">
    <w:abstractNumId w:val="19"/>
  </w:num>
  <w:num w:numId="8">
    <w:abstractNumId w:val="6"/>
  </w:num>
  <w:num w:numId="9">
    <w:abstractNumId w:val="0"/>
  </w:num>
  <w:num w:numId="10">
    <w:abstractNumId w:val="4"/>
  </w:num>
  <w:num w:numId="11">
    <w:abstractNumId w:val="16"/>
  </w:num>
  <w:num w:numId="12">
    <w:abstractNumId w:val="12"/>
  </w:num>
  <w:num w:numId="13">
    <w:abstractNumId w:val="1"/>
  </w:num>
  <w:num w:numId="14">
    <w:abstractNumId w:val="2"/>
  </w:num>
  <w:num w:numId="15">
    <w:abstractNumId w:val="17"/>
  </w:num>
  <w:num w:numId="16">
    <w:abstractNumId w:val="11"/>
  </w:num>
  <w:num w:numId="17">
    <w:abstractNumId w:val="21"/>
  </w:num>
  <w:num w:numId="18">
    <w:abstractNumId w:val="14"/>
  </w:num>
  <w:num w:numId="19">
    <w:abstractNumId w:val="18"/>
  </w:num>
  <w:num w:numId="20">
    <w:abstractNumId w:val="8"/>
  </w:num>
  <w:num w:numId="21">
    <w:abstractNumId w:val="5"/>
  </w:num>
  <w:num w:numId="22">
    <w:abstractNumId w:val="9"/>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53601"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A1C71"/>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18BF"/>
    <w:rsid w:val="002F06D9"/>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232C"/>
    <w:rsid w:val="00363197"/>
    <w:rsid w:val="0037333D"/>
    <w:rsid w:val="00374BE4"/>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0853"/>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4F00D3"/>
    <w:rsid w:val="005078F7"/>
    <w:rsid w:val="005111D8"/>
    <w:rsid w:val="00514744"/>
    <w:rsid w:val="00526EBB"/>
    <w:rsid w:val="0052750E"/>
    <w:rsid w:val="005316C8"/>
    <w:rsid w:val="00537F5A"/>
    <w:rsid w:val="00545D3A"/>
    <w:rsid w:val="00552191"/>
    <w:rsid w:val="0056083F"/>
    <w:rsid w:val="0057587E"/>
    <w:rsid w:val="0058086E"/>
    <w:rsid w:val="00582349"/>
    <w:rsid w:val="00582F2E"/>
    <w:rsid w:val="00583E49"/>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5245"/>
    <w:rsid w:val="0060721F"/>
    <w:rsid w:val="00607ED4"/>
    <w:rsid w:val="006157AE"/>
    <w:rsid w:val="0062174A"/>
    <w:rsid w:val="00622EDE"/>
    <w:rsid w:val="006232E5"/>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04253"/>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20A6F"/>
    <w:rsid w:val="00820DA2"/>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138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01" strokecolor="#54628d">
      <v:stroke color="#54628d" weight="1.5pt"/>
      <o:colormru v:ext="edit" colors="#e2aa1e"/>
    </o:shapedefaults>
    <o:shapelayout v:ext="edit">
      <o:idmap v:ext="edit" data="1"/>
    </o:shapelayout>
  </w:shapeDefaults>
  <w:decimalSymbol w:val=","/>
  <w:listSeparator w:val=";"/>
  <w15:docId w15:val="{0F2F46A5-D3B1-4D20-A260-8513E82F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 w:type="table" w:customStyle="1" w:styleId="Tabela-Siatka6">
    <w:name w:val="Tabela - Siatka6"/>
    <w:basedOn w:val="Standardowy"/>
    <w:next w:val="Tabela-Siatka"/>
    <w:uiPriority w:val="59"/>
    <w:rsid w:val="00605245"/>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0076506">
      <w:bodyDiv w:val="1"/>
      <w:marLeft w:val="0"/>
      <w:marRight w:val="0"/>
      <w:marTop w:val="0"/>
      <w:marBottom w:val="0"/>
      <w:divBdr>
        <w:top w:val="none" w:sz="0" w:space="0" w:color="auto"/>
        <w:left w:val="none" w:sz="0" w:space="0" w:color="auto"/>
        <w:bottom w:val="none" w:sz="0" w:space="0" w:color="auto"/>
        <w:right w:val="none" w:sz="0" w:space="0" w:color="auto"/>
      </w:divBdr>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37457">
      <w:bodyDiv w:val="1"/>
      <w:marLeft w:val="0"/>
      <w:marRight w:val="0"/>
      <w:marTop w:val="0"/>
      <w:marBottom w:val="0"/>
      <w:divBdr>
        <w:top w:val="none" w:sz="0" w:space="0" w:color="auto"/>
        <w:left w:val="none" w:sz="0" w:space="0" w:color="auto"/>
        <w:bottom w:val="none" w:sz="0" w:space="0" w:color="auto"/>
        <w:right w:val="none" w:sz="0" w:space="0" w:color="auto"/>
      </w:divBdr>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yperlink" Target="http://wynagrodzenia.pl/t/ogolnopolskie-badanie-wynagrodzen-np"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www.wynagrodzenia.pl/" TargetMode="External"/><Relationship Id="rId10" Type="http://schemas.openxmlformats.org/officeDocument/2006/relationships/chart" Target="charts/chart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hyperlink" Target="https://wynagrodzenia.pl/raport-placowy/raport-placowy-sedlak-amp-sedlak-dla-branzy-it-201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PROGRAMI&#346;CI\Programi&#347;ci%20w%20IT%202017\Analizy%20do%20artyku&#322;u.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sassrvdc03\dyskiuzytkownikow\bmioduszewska\Artyku&#322;y%20moje\Programi&#347;ci%20w%20IT%202017\Analizy%20do%20artyku&#322;u.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sassrvdc03\dyskiuzytkownikow\bmioduszewska\Artyku&#322;y%20moje\Programi&#347;ci%20w%20IT%202017\Analizy%20do%20artyku&#322;u.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spPr>
            <a:solidFill>
              <a:schemeClr val="accent1"/>
            </a:solidFill>
            <a:ln w="25400" cap="flat" cmpd="sng" algn="ctr">
              <a:solidFill>
                <a:schemeClr val="accent1"/>
              </a:solidFill>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języki!$B$12:$B$16</c:f>
              <c:strCache>
                <c:ptCount val="5"/>
                <c:pt idx="0">
                  <c:v>programista PHP</c:v>
                </c:pt>
                <c:pt idx="1">
                  <c:v>programista .NET/C# </c:v>
                </c:pt>
                <c:pt idx="2">
                  <c:v>programista aplikacji mobilnych </c:v>
                </c:pt>
                <c:pt idx="3">
                  <c:v>programista C/C++ </c:v>
                </c:pt>
                <c:pt idx="4">
                  <c:v>programista Java/JEE/J2EE </c:v>
                </c:pt>
              </c:strCache>
            </c:strRef>
          </c:cat>
          <c:val>
            <c:numRef>
              <c:f>języki!$C$12:$C$16</c:f>
              <c:numCache>
                <c:formatCode>#,##0</c:formatCode>
                <c:ptCount val="5"/>
                <c:pt idx="0">
                  <c:v>11400</c:v>
                </c:pt>
                <c:pt idx="1">
                  <c:v>11300</c:v>
                </c:pt>
                <c:pt idx="2">
                  <c:v>13500</c:v>
                </c:pt>
                <c:pt idx="3">
                  <c:v>11600</c:v>
                </c:pt>
                <c:pt idx="4">
                  <c:v>12200</c:v>
                </c:pt>
              </c:numCache>
            </c:numRef>
          </c:val>
          <c:extLst xmlns:c16r2="http://schemas.microsoft.com/office/drawing/2015/06/chart">
            <c:ext xmlns:c16="http://schemas.microsoft.com/office/drawing/2014/chart" uri="{C3380CC4-5D6E-409C-BE32-E72D297353CC}">
              <c16:uniqueId val="{00000000-1583-4D6F-9F4B-EF5403D79CC5}"/>
            </c:ext>
          </c:extLst>
        </c:ser>
        <c:ser>
          <c:idx val="1"/>
          <c:order val="1"/>
          <c:spPr>
            <a:solidFill>
              <a:schemeClr val="bg1"/>
            </a:solidFill>
            <a:ln w="25400" cap="flat" cmpd="sng" algn="ctr">
              <a:solidFill>
                <a:schemeClr val="bg1"/>
              </a:solidFill>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pl-PL"/>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języki!$B$12:$B$16</c:f>
              <c:strCache>
                <c:ptCount val="5"/>
                <c:pt idx="0">
                  <c:v>programista PHP</c:v>
                </c:pt>
                <c:pt idx="1">
                  <c:v>programista .NET/C# </c:v>
                </c:pt>
                <c:pt idx="2">
                  <c:v>programista aplikacji mobilnych </c:v>
                </c:pt>
                <c:pt idx="3">
                  <c:v>programista C/C++ </c:v>
                </c:pt>
                <c:pt idx="4">
                  <c:v>programista Java/JEE/J2EE </c:v>
                </c:pt>
              </c:strCache>
            </c:strRef>
          </c:cat>
          <c:val>
            <c:numRef>
              <c:f>języki!$D$12:$D$16</c:f>
              <c:numCache>
                <c:formatCode>#,##0</c:formatCode>
                <c:ptCount val="5"/>
                <c:pt idx="0">
                  <c:v>7700</c:v>
                </c:pt>
                <c:pt idx="1">
                  <c:v>8300</c:v>
                </c:pt>
                <c:pt idx="2">
                  <c:v>8000</c:v>
                </c:pt>
                <c:pt idx="3">
                  <c:v>9500</c:v>
                </c:pt>
                <c:pt idx="4">
                  <c:v>9500</c:v>
                </c:pt>
              </c:numCache>
            </c:numRef>
          </c:val>
          <c:extLst xmlns:c16r2="http://schemas.microsoft.com/office/drawing/2015/06/chart">
            <c:ext xmlns:c16="http://schemas.microsoft.com/office/drawing/2014/chart" uri="{C3380CC4-5D6E-409C-BE32-E72D297353CC}">
              <c16:uniqueId val="{00000001-1583-4D6F-9F4B-EF5403D79CC5}"/>
            </c:ext>
          </c:extLst>
        </c:ser>
        <c:dLbls>
          <c:showLegendKey val="0"/>
          <c:showVal val="0"/>
          <c:showCatName val="0"/>
          <c:showSerName val="0"/>
          <c:showPercent val="0"/>
          <c:showBubbleSize val="0"/>
        </c:dLbls>
        <c:gapWidth val="227"/>
        <c:overlap val="100"/>
        <c:axId val="221035880"/>
        <c:axId val="221034312"/>
      </c:barChart>
      <c:catAx>
        <c:axId val="221035880"/>
        <c:scaling>
          <c:orientation val="minMax"/>
        </c:scaling>
        <c:delete val="0"/>
        <c:axPos val="l"/>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50000"/>
                    <a:lumOff val="50000"/>
                  </a:schemeClr>
                </a:solidFill>
                <a:latin typeface="+mn-lt"/>
                <a:ea typeface="+mn-ea"/>
                <a:cs typeface="+mn-cs"/>
              </a:defRPr>
            </a:pPr>
            <a:endParaRPr lang="pl-PL"/>
          </a:p>
        </c:txPr>
        <c:crossAx val="221034312"/>
        <c:crosses val="autoZero"/>
        <c:auto val="1"/>
        <c:lblAlgn val="ctr"/>
        <c:lblOffset val="100"/>
        <c:noMultiLvlLbl val="0"/>
      </c:catAx>
      <c:valAx>
        <c:axId val="221034312"/>
        <c:scaling>
          <c:orientation val="minMax"/>
          <c:min val="6000"/>
        </c:scaling>
        <c:delete val="0"/>
        <c:axPos val="b"/>
        <c:numFmt formatCode="#,##0" sourceLinked="1"/>
        <c:majorTickMark val="none"/>
        <c:minorTickMark val="none"/>
        <c:tickLblPos val="nextTo"/>
        <c:spPr>
          <a:noFill/>
          <a:ln w="9525">
            <a:solidFill>
              <a:schemeClr val="tx1">
                <a:lumMod val="15000"/>
                <a:lumOff val="85000"/>
              </a:schemeClr>
            </a:solid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pl-PL"/>
          </a:p>
        </c:txPr>
        <c:crossAx val="22103588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spPr>
            <a:pattFill prst="narVert">
              <a:fgClr>
                <a:schemeClr val="accent1"/>
              </a:fgClr>
              <a:bgClr>
                <a:schemeClr val="accent1">
                  <a:lumMod val="20000"/>
                  <a:lumOff val="80000"/>
                </a:schemeClr>
              </a:bgClr>
            </a:pattFill>
            <a:ln>
              <a:noFill/>
            </a:ln>
            <a:effectLst>
              <a:innerShdw blurRad="114300">
                <a:schemeClr val="accent1"/>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Arkusz2!$A$1:$A$2</c:f>
              <c:strCache>
                <c:ptCount val="2"/>
                <c:pt idx="0">
                  <c:v>umowa o pracę</c:v>
                </c:pt>
                <c:pt idx="1">
                  <c:v>kontrakt</c:v>
                </c:pt>
              </c:strCache>
            </c:strRef>
          </c:cat>
          <c:val>
            <c:numRef>
              <c:f>Arkusz2!$B$1:$B$2</c:f>
              <c:numCache>
                <c:formatCode>#,##0</c:formatCode>
                <c:ptCount val="2"/>
                <c:pt idx="0">
                  <c:v>10100</c:v>
                </c:pt>
                <c:pt idx="1">
                  <c:v>12000</c:v>
                </c:pt>
              </c:numCache>
            </c:numRef>
          </c:val>
          <c:extLst xmlns:c16r2="http://schemas.microsoft.com/office/drawing/2015/06/chart">
            <c:ext xmlns:c16="http://schemas.microsoft.com/office/drawing/2014/chart" uri="{C3380CC4-5D6E-409C-BE32-E72D297353CC}">
              <c16:uniqueId val="{00000000-8595-4329-B81F-029F96434F66}"/>
            </c:ext>
          </c:extLst>
        </c:ser>
        <c:dLbls>
          <c:showLegendKey val="0"/>
          <c:showVal val="0"/>
          <c:showCatName val="0"/>
          <c:showSerName val="0"/>
          <c:showPercent val="0"/>
          <c:showBubbleSize val="0"/>
        </c:dLbls>
        <c:gapWidth val="227"/>
        <c:overlap val="-48"/>
        <c:axId val="221037056"/>
        <c:axId val="221031568"/>
      </c:barChart>
      <c:catAx>
        <c:axId val="221037056"/>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pl-PL"/>
          </a:p>
        </c:txPr>
        <c:crossAx val="221031568"/>
        <c:crosses val="autoZero"/>
        <c:auto val="1"/>
        <c:lblAlgn val="ctr"/>
        <c:lblOffset val="100"/>
        <c:noMultiLvlLbl val="0"/>
      </c:catAx>
      <c:valAx>
        <c:axId val="221031568"/>
        <c:scaling>
          <c:orientation val="minMax"/>
          <c:min val="0"/>
        </c:scaling>
        <c:delete val="0"/>
        <c:axPos val="b"/>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21037056"/>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a:pPr>
      <a:endParaRPr lang="pl-PL"/>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spPr>
            <a:pattFill prst="narVert">
              <a:fgClr>
                <a:schemeClr val="accent1"/>
              </a:fgClr>
              <a:bgClr>
                <a:schemeClr val="accent1">
                  <a:lumMod val="20000"/>
                  <a:lumOff val="80000"/>
                </a:schemeClr>
              </a:bgClr>
            </a:pattFill>
            <a:ln>
              <a:noFill/>
            </a:ln>
            <a:effectLst>
              <a:innerShdw blurRad="114300">
                <a:schemeClr val="accent1"/>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Arkusz3!$A$1:$A$3</c:f>
              <c:strCache>
                <c:ptCount val="3"/>
                <c:pt idx="0">
                  <c:v>umowa zlecenie</c:v>
                </c:pt>
                <c:pt idx="1">
                  <c:v>umowa o pracę</c:v>
                </c:pt>
                <c:pt idx="2">
                  <c:v>kontrakt</c:v>
                </c:pt>
              </c:strCache>
            </c:strRef>
          </c:cat>
          <c:val>
            <c:numRef>
              <c:f>Arkusz3!$B$1:$B$3</c:f>
              <c:numCache>
                <c:formatCode>#,##0</c:formatCode>
                <c:ptCount val="3"/>
                <c:pt idx="0">
                  <c:v>4000</c:v>
                </c:pt>
                <c:pt idx="1">
                  <c:v>4900</c:v>
                </c:pt>
                <c:pt idx="2">
                  <c:v>6100</c:v>
                </c:pt>
              </c:numCache>
            </c:numRef>
          </c:val>
          <c:extLst xmlns:c16r2="http://schemas.microsoft.com/office/drawing/2015/06/chart">
            <c:ext xmlns:c16="http://schemas.microsoft.com/office/drawing/2014/chart" uri="{C3380CC4-5D6E-409C-BE32-E72D297353CC}">
              <c16:uniqueId val="{00000000-625E-4C64-95C4-6698D09F9A74}"/>
            </c:ext>
          </c:extLst>
        </c:ser>
        <c:dLbls>
          <c:showLegendKey val="0"/>
          <c:showVal val="0"/>
          <c:showCatName val="0"/>
          <c:showSerName val="0"/>
          <c:showPercent val="0"/>
          <c:showBubbleSize val="0"/>
        </c:dLbls>
        <c:gapWidth val="227"/>
        <c:overlap val="-48"/>
        <c:axId val="221038624"/>
        <c:axId val="221038232"/>
      </c:barChart>
      <c:catAx>
        <c:axId val="221038624"/>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pl-PL"/>
          </a:p>
        </c:txPr>
        <c:crossAx val="221038232"/>
        <c:crosses val="autoZero"/>
        <c:auto val="1"/>
        <c:lblAlgn val="ctr"/>
        <c:lblOffset val="100"/>
        <c:noMultiLvlLbl val="0"/>
      </c:catAx>
      <c:valAx>
        <c:axId val="221038232"/>
        <c:scaling>
          <c:orientation val="minMax"/>
        </c:scaling>
        <c:delete val="0"/>
        <c:axPos val="b"/>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2103862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4">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bg1"/>
    </cs:fontRef>
    <cs:spPr>
      <a:solidFill>
        <a:schemeClr val="tx1">
          <a:lumMod val="35000"/>
          <a:lumOff val="65000"/>
        </a:schemeClr>
      </a:solidFill>
    </cs:spPr>
    <cs:defRPr sz="900"/>
    <cs:bodyPr rot="0" spcFirstLastPara="1" vertOverflow="clip" horzOverflow="clip" vert="horz" wrap="square" lIns="36576" tIns="18288" rIns="36576" bIns="18288" anchor="ctr" anchorCtr="1">
      <a:spAutoFit/>
    </cs:bodyPr>
  </cs:dataLabelCallout>
  <cs:dataPoint>
    <cs:lnRef idx="0">
      <cs:styleClr val="auto"/>
    </cs:lnRef>
    <cs:fillRef idx="0"/>
    <cs:effectRef idx="0"/>
    <cs:fontRef idx="minor">
      <a:schemeClr val="dk1"/>
    </cs:fontRef>
    <cs:spPr>
      <a:noFill/>
      <a:ln w="25400" cap="flat" cmpd="sng" algn="ctr">
        <a:solidFill>
          <a:schemeClr val="phClr"/>
        </a:solidFill>
        <a:miter lim="800000"/>
      </a:ln>
    </cs:spPr>
  </cs:dataPoint>
  <cs:dataPoint3D>
    <cs:lnRef idx="0">
      <cs:styleClr val="auto"/>
    </cs:lnRef>
    <cs:fillRef idx="0">
      <cs:styleClr val="auto"/>
    </cs:fillRef>
    <cs:effectRef idx="0"/>
    <cs:fontRef idx="minor">
      <a:schemeClr val="dk1"/>
    </cs:fontRef>
    <cs:spPr>
      <a:ln w="19050" cap="flat" cmpd="sng" algn="ctr">
        <a:solidFill>
          <a:schemeClr val="phClr"/>
        </a:solidFill>
        <a:miter lim="800000"/>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ln w="19050" cap="rnd">
        <a:solidFill>
          <a:schemeClr val="phClr"/>
        </a:solidFill>
        <a:round/>
      </a:ln>
    </cs:spPr>
  </cs:dataPointMarker>
  <cs:dataPointMarkerLayout symbol="circle" size="6"/>
  <cs:dataPointWireframe>
    <cs:lnRef idx="0">
      <cs:styleClr val="auto"/>
    </cs:lnRef>
    <cs:fillRef idx="1"/>
    <cs:effectRef idx="0"/>
    <cs:fontRef idx="minor">
      <a:schemeClr val="tx1"/>
    </cs:fontRef>
    <cs:spPr>
      <a:ln w="9525">
        <a:solidFill>
          <a:schemeClr val="phClr"/>
        </a:solidFill>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tx1">
            <a:lumMod val="50000"/>
            <a:lumOff val="50000"/>
          </a:schemeClr>
        </a:solidFill>
        <a:round/>
      </a:ln>
    </cs:spPr>
  </cs:downBar>
  <cs:dropLine>
    <cs:lnRef idx="0"/>
    <cs:fillRef idx="0"/>
    <cs:effectRef idx="0"/>
    <cs:fontRef idx="minor">
      <a:schemeClr val="dk1"/>
    </cs:fontRef>
    <cs:spPr>
      <a:ln w="9525" cap="flat" cmpd="sng" algn="ctr">
        <a:solidFill>
          <a:schemeClr val="tx1">
            <a:lumMod val="35000"/>
            <a:lumOff val="65000"/>
          </a:schemeClr>
        </a:solidFill>
        <a:round/>
      </a:ln>
    </cs:spPr>
  </cs:dropLine>
  <cs:errorBar>
    <cs:lnRef idx="0"/>
    <cs:fillRef idx="0"/>
    <cs:effectRef idx="0"/>
    <cs:fontRef idx="minor">
      <a:schemeClr val="dk1"/>
    </cs:fontRef>
    <cs:spPr>
      <a:ln w="9525" cap="flat" cmpd="sng" algn="ctr">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a:solidFill>
          <a:schemeClr val="tx1">
            <a:lumMod val="15000"/>
            <a:lumOff val="85000"/>
          </a:schemeClr>
        </a:solidFill>
      </a:ln>
    </cs:spPr>
  </cs:gridlineMajor>
  <cs:gridlineMinor>
    <cs:lnRef idx="0"/>
    <cs:fillRef idx="0"/>
    <cs:effectRef idx="0"/>
    <cs:fontRef idx="minor">
      <a:schemeClr val="dk1"/>
    </cs:fontRef>
    <cs:spPr>
      <a:ln w="9525">
        <a:solidFill>
          <a:schemeClr val="tx1">
            <a:lumMod val="5000"/>
            <a:lumOff val="95000"/>
          </a:schemeClr>
        </a:solidFill>
      </a:ln>
    </cs:spPr>
  </cs:gridlineMinor>
  <cs:hiLoLine>
    <cs:lnRef idx="0"/>
    <cs:fillRef idx="0"/>
    <cs:effectRef idx="0"/>
    <cs:fontRef idx="minor">
      <a:schemeClr val="dk1"/>
    </cs:fontRef>
    <cs:spPr>
      <a:ln w="9525" cap="flat" cmpd="sng" algn="ctr">
        <a:solidFill>
          <a:schemeClr val="tx1">
            <a:lumMod val="35000"/>
            <a:lumOff val="65000"/>
          </a:schemeClr>
        </a:solidFill>
        <a:round/>
      </a:ln>
    </cs:spPr>
  </cs:hiLoLine>
  <cs:leaderLine>
    <cs:lnRef idx="0"/>
    <cs:fillRef idx="0"/>
    <cs:effectRef idx="0"/>
    <cs:fontRef idx="minor">
      <a:schemeClr val="dk1"/>
    </cs:fontRef>
    <cs:spPr>
      <a:ln w="9525" cap="flat" cmpd="sng" algn="ctr">
        <a:solidFill>
          <a:schemeClr val="tx1">
            <a:lumMod val="35000"/>
            <a:lumOff val="65000"/>
          </a:schemeClr>
        </a:solidFill>
        <a:round/>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00" b="0" kern="1200" cap="none" spc="50" baseline="0"/>
  </cs:title>
  <cs:trendline>
    <cs:lnRef idx="0">
      <cs:styleClr val="auto"/>
    </cs:lnRef>
    <cs:fillRef idx="0"/>
    <cs:effectRef idx="0"/>
    <cs:fontRef idx="minor">
      <a:schemeClr val="dk1"/>
    </cs:fontRef>
    <cs:spPr>
      <a:ln w="19050" cap="rnd">
        <a:solidFill>
          <a:schemeClr val="phClr"/>
        </a:solidFill>
        <a:prstDash val="sysDot"/>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cap="flat" cmpd="sng" algn="ctr">
        <a:solidFill>
          <a:schemeClr val="tx1">
            <a:lumMod val="50000"/>
            <a:lumOff val="50000"/>
          </a:schemeClr>
        </a:solidFill>
        <a:round/>
      </a:ln>
    </cs:spPr>
  </cs:upBar>
  <cs:valueAxis>
    <cs:lnRef idx="0"/>
    <cs:fillRef idx="0"/>
    <cs:effectRef idx="0"/>
    <cs:fontRef idx="minor">
      <a:schemeClr val="tx1">
        <a:lumMod val="50000"/>
        <a:lumOff val="50000"/>
      </a:schemeClr>
    </cs:fontRef>
    <cs:spPr>
      <a:ln w="9525">
        <a:solidFill>
          <a:schemeClr val="tx1">
            <a:lumMod val="15000"/>
            <a:lumOff val="85000"/>
          </a:schemeClr>
        </a:solid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1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1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55C28-A7CE-41DF-A149-29D698DFC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806</Words>
  <Characters>4842</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5637</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Kamil Preidl</cp:lastModifiedBy>
  <cp:revision>2</cp:revision>
  <cp:lastPrinted>2016-12-19T13:09:00Z</cp:lastPrinted>
  <dcterms:created xsi:type="dcterms:W3CDTF">2017-11-17T09:48:00Z</dcterms:created>
  <dcterms:modified xsi:type="dcterms:W3CDTF">2017-11-17T09:48:00Z</dcterms:modified>
</cp:coreProperties>
</file>