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73" w:rsidRPr="00A217F4" w:rsidRDefault="00017379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07.09</w:t>
      </w:r>
      <w:r w:rsidR="00881459">
        <w:rPr>
          <w:rFonts w:asciiTheme="minorHAnsi" w:hAnsiTheme="minorHAnsi"/>
          <w:b w:val="0"/>
          <w:bCs w:val="0"/>
          <w:sz w:val="20"/>
        </w:rPr>
        <w:t>.2016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  <w:r w:rsidRPr="00A217F4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 wp14:anchorId="60798EDB" wp14:editId="326A5B19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FB796D" w:rsidRPr="00A217F4" w:rsidRDefault="00FB796D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Konrad Akowacz</w:t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FB796D">
        <w:rPr>
          <w:rFonts w:asciiTheme="minorHAnsi" w:hAnsiTheme="minorHAnsi"/>
        </w:rPr>
        <w:t>511 057</w:t>
      </w:r>
      <w:r w:rsidR="00BE15EA" w:rsidRPr="00A217F4">
        <w:rPr>
          <w:rFonts w:asciiTheme="minorHAnsi" w:hAnsiTheme="minorHAnsi"/>
        </w:rPr>
        <w:t> </w:t>
      </w:r>
      <w:r w:rsidR="00FB796D">
        <w:rPr>
          <w:rFonts w:asciiTheme="minorHAnsi" w:hAnsiTheme="minorHAnsi"/>
        </w:rPr>
        <w:t>700</w:t>
      </w:r>
    </w:p>
    <w:p w:rsidR="006D03DA" w:rsidRDefault="00BF6782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  <w:r w:rsidR="006D03DA" w:rsidRPr="00A217F4">
        <w:rPr>
          <w:rFonts w:asciiTheme="minorHAnsi" w:hAnsiTheme="minorHAnsi" w:cs="Arial"/>
          <w:b w:val="0"/>
          <w:color w:val="000080"/>
          <w:sz w:val="20"/>
        </w:rPr>
        <w:t xml:space="preserve"> </w:t>
      </w:r>
    </w:p>
    <w:p w:rsidR="00681531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681531" w:rsidRPr="00A217F4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F52E27" w:rsidRPr="00F52E27" w:rsidRDefault="00F52E27" w:rsidP="00F52E27">
      <w:pPr>
        <w:jc w:val="center"/>
        <w:rPr>
          <w:rFonts w:asciiTheme="minorHAnsi" w:hAnsiTheme="minorHAnsi"/>
          <w:b/>
          <w:caps/>
          <w:color w:val="002060"/>
          <w:sz w:val="40"/>
        </w:rPr>
      </w:pPr>
      <w:r w:rsidRPr="00F52E27">
        <w:rPr>
          <w:rFonts w:asciiTheme="minorHAnsi" w:hAnsiTheme="minorHAnsi"/>
          <w:b/>
          <w:caps/>
          <w:color w:val="002060"/>
          <w:sz w:val="40"/>
        </w:rPr>
        <w:t>Za co premiowani są</w:t>
      </w:r>
      <w:r w:rsidRPr="00F52E27">
        <w:rPr>
          <w:rFonts w:asciiTheme="minorHAnsi" w:hAnsiTheme="minorHAnsi"/>
          <w:b/>
          <w:caps/>
          <w:color w:val="002060"/>
          <w:sz w:val="40"/>
        </w:rPr>
        <w:br/>
        <w:t>menedżerowie spółek giełdowych?</w:t>
      </w:r>
    </w:p>
    <w:p w:rsidR="00F52E27" w:rsidRPr="00F52E27" w:rsidRDefault="00F52E27" w:rsidP="00F52E27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  <w:r w:rsidRPr="00F52E27">
        <w:rPr>
          <w:rFonts w:asciiTheme="minorHAnsi" w:hAnsiTheme="minorHAnsi" w:cs="Calibri"/>
        </w:rPr>
        <w:t xml:space="preserve">W 2015 roku premie i nagrody stanowiły 27% pakietu wynagrodzeń menedżerów spółek notowanych na GPW. W niniejszym artykule chcielibyśmy zaprezentować kryteria przyznawania tych składników wynagrodzeń w firmach zaliczanych do indeksów WIG30 i WIG </w:t>
      </w:r>
      <w:proofErr w:type="spellStart"/>
      <w:r w:rsidRPr="00F52E27">
        <w:rPr>
          <w:rFonts w:asciiTheme="minorHAnsi" w:hAnsiTheme="minorHAnsi" w:cs="Calibri"/>
        </w:rPr>
        <w:t>Respect</w:t>
      </w:r>
      <w:proofErr w:type="spellEnd"/>
      <w:r w:rsidRPr="00F52E27">
        <w:rPr>
          <w:rFonts w:asciiTheme="minorHAnsi" w:hAnsiTheme="minorHAnsi" w:cs="Calibri"/>
        </w:rPr>
        <w:t>. W tym celu przeanalizowaliśmy ich raporty finansowe oraz raporty o stosowaniu „Dobrych praktyk spółek notowanych na GPW”.</w:t>
      </w: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  <w:r w:rsidRPr="00F52E27">
        <w:rPr>
          <w:rFonts w:asciiTheme="minorHAnsi" w:hAnsiTheme="minorHAnsi" w:cs="Calibri"/>
        </w:rPr>
        <w:t>Wykres 1. przedstawia strukturę pakietu wynagrodzeń menedżerów w spółkach giełdowych. Dane pochodzą z raportu „Wynagrodzenia członków zarządów spółek giełdowych w 2015 roku”, w którym uwzględniono 353 firmy. Z uwagi na rozbieżno</w:t>
      </w:r>
      <w:bookmarkStart w:id="0" w:name="_GoBack"/>
      <w:bookmarkEnd w:id="0"/>
      <w:r w:rsidRPr="00F52E27">
        <w:rPr>
          <w:rFonts w:asciiTheme="minorHAnsi" w:hAnsiTheme="minorHAnsi" w:cs="Calibri"/>
        </w:rPr>
        <w:t>ści w publikacji poszczególnych składowych wynagrodzeń, w analizach zostały uwzględnione dane pochodzące jedynie z 41 spółek, które zaprezentowały w swoich sprawozdaniach finansowych poszczególne składniki wynagrodzeń. Firmy te stanowią zaledwie 11% badanych spółek.</w:t>
      </w:r>
    </w:p>
    <w:p w:rsidR="00F52E27" w:rsidRPr="00F52E27" w:rsidRDefault="00F52E27" w:rsidP="00F52E27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pStyle w:val="Bezodstpw"/>
        <w:jc w:val="center"/>
        <w:rPr>
          <w:rFonts w:asciiTheme="minorHAnsi" w:eastAsia="Times New Roman" w:hAnsiTheme="minorHAnsi"/>
          <w:b/>
          <w:bCs/>
          <w:iCs/>
          <w:color w:val="365F91" w:themeColor="accent1" w:themeShade="BF"/>
          <w:lang w:eastAsia="pl-PL"/>
        </w:rPr>
      </w:pPr>
      <w:r w:rsidRPr="00F52E27">
        <w:rPr>
          <w:rFonts w:asciiTheme="minorHAnsi" w:eastAsia="Times New Roman" w:hAnsiTheme="minorHAnsi"/>
          <w:b/>
          <w:bCs/>
          <w:color w:val="365F91" w:themeColor="accent1" w:themeShade="BF"/>
          <w:lang w:eastAsia="pl-PL"/>
        </w:rPr>
        <w:t>Wykres 1. Struktura pakietu wynagrodzeń menedżerów spółek</w:t>
      </w:r>
      <w:r w:rsidRPr="00F52E27">
        <w:rPr>
          <w:rFonts w:asciiTheme="minorHAnsi" w:eastAsia="Times New Roman" w:hAnsiTheme="minorHAnsi"/>
          <w:b/>
          <w:bCs/>
          <w:color w:val="365F91" w:themeColor="accent1" w:themeShade="BF"/>
          <w:lang w:eastAsia="pl-PL"/>
        </w:rPr>
        <w:br/>
        <w:t>notowanych na GPW w 2015 roku (n=41 spółek)</w:t>
      </w:r>
    </w:p>
    <w:p w:rsidR="00F52E27" w:rsidRPr="00F52E27" w:rsidRDefault="00F52E27" w:rsidP="00F52E27">
      <w:pPr>
        <w:autoSpaceDE w:val="0"/>
        <w:autoSpaceDN w:val="0"/>
        <w:adjustRightInd w:val="0"/>
        <w:jc w:val="center"/>
        <w:rPr>
          <w:rFonts w:asciiTheme="minorHAnsi" w:hAnsiTheme="minorHAnsi"/>
          <w:i/>
          <w:color w:val="565350"/>
          <w:sz w:val="20"/>
          <w:szCs w:val="20"/>
          <w:lang w:eastAsia="pl-PL"/>
        </w:rPr>
      </w:pPr>
      <w:r w:rsidRPr="00F52E27">
        <w:rPr>
          <w:rFonts w:asciiTheme="minorHAnsi" w:hAnsiTheme="minorHAnsi"/>
          <w:noProof/>
          <w:highlight w:val="yellow"/>
          <w:lang w:eastAsia="pl-PL"/>
        </w:rPr>
        <w:drawing>
          <wp:inline distT="0" distB="0" distL="0" distR="0" wp14:anchorId="301B7F3B" wp14:editId="29ECB6AD">
            <wp:extent cx="5648325" cy="2183130"/>
            <wp:effectExtent l="0" t="0" r="0" b="7620"/>
            <wp:docPr id="35" name="Wykres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F52E27">
        <w:rPr>
          <w:rFonts w:asciiTheme="minorHAnsi" w:hAnsiTheme="minorHAnsi"/>
          <w:i/>
          <w:color w:val="565350"/>
          <w:sz w:val="20"/>
          <w:szCs w:val="20"/>
          <w:lang w:eastAsia="pl-PL"/>
        </w:rPr>
        <w:t xml:space="preserve">Źródło: Raport „Wynagrodzenia członków zarządów spółek giełdowych w 2015 roku” Sedlak </w:t>
      </w:r>
      <w:r w:rsidRPr="00F52E27">
        <w:rPr>
          <w:rFonts w:asciiTheme="minorHAnsi" w:hAnsiTheme="minorHAnsi"/>
          <w:i/>
          <w:color w:val="565350"/>
          <w:sz w:val="16"/>
          <w:szCs w:val="20"/>
          <w:lang w:eastAsia="pl-PL"/>
        </w:rPr>
        <w:t>&amp;</w:t>
      </w:r>
      <w:r w:rsidRPr="00F52E27">
        <w:rPr>
          <w:rFonts w:asciiTheme="minorHAnsi" w:hAnsiTheme="minorHAnsi"/>
          <w:i/>
          <w:color w:val="565350"/>
          <w:sz w:val="20"/>
          <w:szCs w:val="20"/>
          <w:lang w:eastAsia="pl-PL"/>
        </w:rPr>
        <w:t xml:space="preserve"> Sedlak</w:t>
      </w:r>
    </w:p>
    <w:p w:rsidR="00F52E27" w:rsidRPr="00F52E27" w:rsidRDefault="00F52E27" w:rsidP="00F52E27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 w:cs="Arial"/>
          <w:lang w:eastAsia="pl-PL"/>
        </w:rPr>
      </w:pPr>
      <w:r w:rsidRPr="00F52E27">
        <w:rPr>
          <w:rFonts w:asciiTheme="minorHAnsi" w:hAnsiTheme="minorHAnsi" w:cs="Arial"/>
          <w:lang w:eastAsia="pl-PL"/>
        </w:rPr>
        <w:t xml:space="preserve">„Dobre praktyki spółek notowanych na GPW”, wprowadzone w styczniu 2016 roku, zawierają sześć rozdziałów. Jeden z nich został poświęcony kwestii wynagrodzeń. Każdy rozdział zawiera rekomendacje ogólne oraz zasady szczegółowe. Każda spółka ma obowiązek opublikować informacje na temat przestrzegania tych zaleceń lub wyjaśnić dlaczego od nich odstąpiła </w:t>
      </w:r>
      <w:r w:rsidRPr="00F52E27">
        <w:rPr>
          <w:rFonts w:asciiTheme="minorHAnsi" w:hAnsiTheme="minorHAnsi" w:cs="Arial"/>
          <w:i/>
          <w:lang w:eastAsia="pl-PL"/>
        </w:rPr>
        <w:t>(</w:t>
      </w:r>
      <w:proofErr w:type="spellStart"/>
      <w:r w:rsidRPr="00F52E27">
        <w:rPr>
          <w:rFonts w:asciiTheme="minorHAnsi" w:hAnsiTheme="minorHAnsi" w:cs="Arial"/>
          <w:i/>
          <w:lang w:eastAsia="pl-PL"/>
        </w:rPr>
        <w:t>comply</w:t>
      </w:r>
      <w:proofErr w:type="spellEnd"/>
      <w:r w:rsidRPr="00F52E27">
        <w:rPr>
          <w:rFonts w:asciiTheme="minorHAnsi" w:hAnsiTheme="minorHAnsi" w:cs="Arial"/>
          <w:i/>
          <w:lang w:eastAsia="pl-PL"/>
        </w:rPr>
        <w:t xml:space="preserve"> </w:t>
      </w:r>
      <w:proofErr w:type="spellStart"/>
      <w:r w:rsidRPr="00F52E27">
        <w:rPr>
          <w:rFonts w:asciiTheme="minorHAnsi" w:hAnsiTheme="minorHAnsi" w:cs="Arial"/>
          <w:i/>
          <w:lang w:eastAsia="pl-PL"/>
        </w:rPr>
        <w:t>or</w:t>
      </w:r>
      <w:proofErr w:type="spellEnd"/>
      <w:r w:rsidRPr="00F52E27">
        <w:rPr>
          <w:rFonts w:asciiTheme="minorHAnsi" w:hAnsiTheme="minorHAnsi" w:cs="Arial"/>
          <w:i/>
          <w:lang w:eastAsia="pl-PL"/>
        </w:rPr>
        <w:t xml:space="preserve"> </w:t>
      </w:r>
      <w:proofErr w:type="spellStart"/>
      <w:r w:rsidRPr="00F52E27">
        <w:rPr>
          <w:rFonts w:asciiTheme="minorHAnsi" w:hAnsiTheme="minorHAnsi" w:cs="Arial"/>
          <w:i/>
          <w:lang w:eastAsia="pl-PL"/>
        </w:rPr>
        <w:t>explain</w:t>
      </w:r>
      <w:proofErr w:type="spellEnd"/>
      <w:r w:rsidRPr="00F52E27">
        <w:rPr>
          <w:rFonts w:asciiTheme="minorHAnsi" w:hAnsiTheme="minorHAnsi" w:cs="Arial"/>
          <w:i/>
          <w:lang w:eastAsia="pl-PL"/>
        </w:rPr>
        <w:t>).</w:t>
      </w: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F52E27">
        <w:rPr>
          <w:rFonts w:asciiTheme="minorHAnsi" w:hAnsiTheme="minorHAnsi" w:cstheme="minorHAnsi"/>
        </w:rPr>
        <w:t>Rozdział VI „Dobrych praktyk spółek notowanych na GPW”, zatytułowany „Wynagrodzenia”, otwiera zasada ogólna: „</w:t>
      </w:r>
      <w:r w:rsidRPr="00F52E27">
        <w:rPr>
          <w:rStyle w:val="Uwydatnienie"/>
          <w:rFonts w:asciiTheme="minorHAnsi" w:hAnsiTheme="minorHAnsi" w:cstheme="minorHAnsi"/>
        </w:rPr>
        <w:t>Spółka posiada politykę wynagrodzeń co najmniej dla członków organów spółki i kluczowych menedżerów. Polityka wynagrodzeń określa w szczególności formę, strukturę i sposób ustalania wynagrodzeń członków organów spółki i jej kluczowych menedżerów</w:t>
      </w:r>
      <w:r w:rsidRPr="00F52E27">
        <w:rPr>
          <w:rFonts w:asciiTheme="minorHAnsi" w:hAnsiTheme="minorHAnsi" w:cstheme="minorHAnsi"/>
          <w:i/>
        </w:rPr>
        <w:t>”.</w:t>
      </w:r>
      <w:r w:rsidRPr="00F52E27">
        <w:rPr>
          <w:rFonts w:asciiTheme="minorHAnsi" w:hAnsiTheme="minorHAnsi" w:cstheme="minorHAnsi"/>
        </w:rPr>
        <w:t xml:space="preserve"> Natomiast zasady szczegółowe zwracają uwagę na powiązanie wynagrodzeń członków zarządów i rad nadzorczych z osiągniętymi wynikami. Wraz z wprowadzeniem nowych dobrych praktyk, został wydany podręcznik z wyjaśnieniami jak je interpretować (A. S. Nartowski). W tym miejscu chcielibyśmy zwrócić uwagę na komentarz „Jeżeli zawartość zawartego w sprawozdaniu z działalności raportu na temat polityki wynagrodzeń nie wyczerpuje w pełni dyspozycji zawartych w punktach 1) – 5) zasady, spółka ujawnia niezastosowanie zasady w tym zakresie. Jeżeli w sprawozdaniu brak wspomnianego raportu, zachodzi naruszenie omawianej zasady szczegółowej.”</w:t>
      </w:r>
    </w:p>
    <w:p w:rsidR="00F52E27" w:rsidRPr="00F52E27" w:rsidRDefault="00F52E27" w:rsidP="00F52E27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</w:p>
    <w:p w:rsidR="00F52E27" w:rsidRDefault="00F52E27" w:rsidP="00F52E27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="Calibri"/>
        </w:rPr>
      </w:pPr>
      <w:r w:rsidRPr="00F52E27">
        <w:rPr>
          <w:rFonts w:asciiTheme="minorHAnsi" w:hAnsiTheme="minorHAnsi"/>
        </w:rPr>
        <w:t xml:space="preserve">W kontekście niniejszego artykułu </w:t>
      </w:r>
      <w:r w:rsidRPr="00F52E27">
        <w:rPr>
          <w:rFonts w:asciiTheme="minorHAnsi" w:hAnsiTheme="minorHAnsi" w:cs="Calibri"/>
        </w:rPr>
        <w:t xml:space="preserve">przedstawiamy zestawienie dotyczące przestrzegania czwartej zasady szczegółowej (VI.Z. 4 ) dobrych praktyk przez spółki zaklasyfikowane do indeksów WIG30 i WIG RESPECT. </w:t>
      </w:r>
      <w:r w:rsidRPr="00F52E27">
        <w:rPr>
          <w:rFonts w:asciiTheme="minorHAnsi" w:hAnsiTheme="minorHAnsi"/>
        </w:rPr>
        <w:t xml:space="preserve">Zgodnie z nią spółka w sprawozdaniu z działalności powinna  opublikować raport dotyczący polityki wynagradzania. W raporcie powinny być zawarte m.in. informacje o przyjętym systemie wynagrodzeń oraz kluczowe parametry ustalania zmiennych składników wynagrodzenia. </w:t>
      </w:r>
      <w:r w:rsidRPr="00F52E27">
        <w:rPr>
          <w:rFonts w:asciiTheme="minorHAnsi" w:hAnsiTheme="minorHAnsi" w:cs="Calibri"/>
        </w:rPr>
        <w:t>Zasada ta w dużej mierze pokrywa się zaleceniem KE z 30 kwietnia 2009 r. (2009/385/WE).</w:t>
      </w:r>
    </w:p>
    <w:p w:rsidR="00F52E27" w:rsidRPr="00F52E27" w:rsidRDefault="00F52E27" w:rsidP="00F52E27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F52E27">
        <w:rPr>
          <w:rFonts w:asciiTheme="minorHAnsi" w:hAnsiTheme="minorHAnsi" w:cs="Calibri"/>
        </w:rPr>
        <w:t xml:space="preserve">Na potrzeby niniejszego opracowania przeanalizowaliśmy raport z 42 spółek, z wyłączeniem </w:t>
      </w:r>
      <w:r w:rsidRPr="00F52E27">
        <w:rPr>
          <w:rFonts w:asciiTheme="minorHAnsi" w:hAnsiTheme="minorHAnsi"/>
        </w:rPr>
        <w:t>banków, ponieważ są one dodatkowo zobligowane do przestrzegania zapisów uchwał Komisji Nadzoru Finansowego nr 258/2011 i 259/2011 oraz „Zasad ładu korporacyjnego dla instytucji nadzorowanych”, które narzucają dodatkowe obowiązki informacyjne. W efekcie końcowym prezentujemy dane dla 29 spółek.</w:t>
      </w: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  <w:r w:rsidRPr="00F52E27">
        <w:rPr>
          <w:rFonts w:asciiTheme="minorHAnsi" w:hAnsiTheme="minorHAnsi" w:cs="Calibri"/>
        </w:rPr>
        <w:lastRenderedPageBreak/>
        <w:t xml:space="preserve">Zgodnie z wynikami badania 18 z 29 firm (62% próby) zadeklarowało, iż stosuje wyżej opisaną zasadę nr 4. Pozostałe 11 spółek odstąpiło od jej stosowania. W każdym przypadku podano wyjaśnienie takiej decyzji, które prezentuje tabela 1. </w:t>
      </w: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jc w:val="center"/>
        <w:rPr>
          <w:rFonts w:asciiTheme="minorHAnsi" w:hAnsiTheme="minorHAnsi"/>
          <w:b/>
          <w:bCs/>
          <w:color w:val="365F91" w:themeColor="accent1" w:themeShade="BF"/>
          <w:lang w:eastAsia="pl-PL"/>
        </w:rPr>
      </w:pPr>
      <w:r w:rsidRPr="00F52E27">
        <w:rPr>
          <w:rFonts w:asciiTheme="minorHAnsi" w:hAnsiTheme="minorHAnsi"/>
          <w:b/>
          <w:bCs/>
          <w:color w:val="365F91" w:themeColor="accent1" w:themeShade="BF"/>
          <w:lang w:eastAsia="pl-PL"/>
        </w:rPr>
        <w:t xml:space="preserve">Tabela 1. Komentarze spółek giełdowych dotyczące niestosowania </w:t>
      </w:r>
      <w:r w:rsidRPr="00F52E27">
        <w:rPr>
          <w:rFonts w:asciiTheme="minorHAnsi" w:hAnsiTheme="minorHAnsi"/>
          <w:b/>
          <w:bCs/>
          <w:color w:val="365F91" w:themeColor="accent1" w:themeShade="BF"/>
          <w:lang w:eastAsia="pl-PL"/>
        </w:rPr>
        <w:br/>
        <w:t>zasady VI.Z.4 Dobrych praktyk spółek notowanych na GPW</w:t>
      </w:r>
    </w:p>
    <w:tbl>
      <w:tblPr>
        <w:tblStyle w:val="Tabela-Siatka"/>
        <w:tblW w:w="9062" w:type="dxa"/>
        <w:tblBorders>
          <w:top w:val="single" w:sz="4" w:space="0" w:color="FFDEBF"/>
          <w:left w:val="none" w:sz="0" w:space="0" w:color="auto"/>
          <w:bottom w:val="single" w:sz="4" w:space="0" w:color="FFDEBF"/>
          <w:right w:val="none" w:sz="0" w:space="0" w:color="auto"/>
          <w:insideH w:val="single" w:sz="4" w:space="0" w:color="FFDE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F52E27" w:rsidRPr="00F52E27" w:rsidTr="00812985">
        <w:trPr>
          <w:trHeight w:val="567"/>
        </w:trPr>
        <w:tc>
          <w:tcPr>
            <w:tcW w:w="1985" w:type="dxa"/>
            <w:shd w:val="clear" w:color="auto" w:fill="FFF2E9"/>
            <w:noWrap/>
            <w:vAlign w:val="center"/>
            <w:hideMark/>
          </w:tcPr>
          <w:p w:rsidR="00F52E27" w:rsidRPr="00F52E27" w:rsidRDefault="00F52E27" w:rsidP="00812985">
            <w:pPr>
              <w:jc w:val="center"/>
              <w:rPr>
                <w:rFonts w:asciiTheme="minorHAnsi" w:hAnsiTheme="minorHAnsi" w:cs="Arial"/>
                <w:b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/>
                <w:bCs/>
                <w:color w:val="565353"/>
                <w:lang w:eastAsia="pl-PL"/>
              </w:rPr>
              <w:t>nazwa spółki</w:t>
            </w:r>
          </w:p>
        </w:tc>
        <w:tc>
          <w:tcPr>
            <w:tcW w:w="7077" w:type="dxa"/>
            <w:shd w:val="clear" w:color="auto" w:fill="FFF2E9"/>
            <w:noWrap/>
            <w:vAlign w:val="center"/>
            <w:hideMark/>
          </w:tcPr>
          <w:p w:rsidR="00F52E27" w:rsidRPr="00F52E27" w:rsidRDefault="00F52E27" w:rsidP="00812985">
            <w:pPr>
              <w:jc w:val="center"/>
              <w:rPr>
                <w:rFonts w:asciiTheme="minorHAnsi" w:hAnsiTheme="minorHAnsi" w:cs="Arial"/>
                <w:b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/>
                <w:bCs/>
                <w:color w:val="565353"/>
                <w:lang w:eastAsia="pl-PL"/>
              </w:rPr>
              <w:t>komentarz spółki dot. zasady VI.Z.4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CD PROJEKT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Emitent traktuje funkcjonujący w spółce system (politykę) wynagrodzeń jako część tajemnicy przedsiębiorstwa zaś indywidualne wynagrodzenia poszczególnych osób nie będących członkami zarządu lub rady nadzorczej spółki jako informacje szczególnie poufną i nie publikuje informacji w tym zakresie. Jednocześnie w odniesieniu do publikacji informacji o wynagrodzeniach członków zarządu i rady nadzorczej Emitent stosuje obowiązujące w tym zakresie przepisy prawa.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CYFROWY POLSAT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Spółka nie będzie realizowała zasady VI.Z.4 z uwagi na to, iż Spółka nie posiada sformalizowanej polityki wynagrodzeń członków organów Spółki i jej kluczowych menedżerów. (…)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ENERGA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Spółka jest w trakcie analiz w/w zasady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EUROCASH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W sprawozdaniach podane jest wynagrodzenie każdego z członków zarządu i rady nadzorczej, ale nie jest opisywania polityka wynagrodzeń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LPP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Spółka nie będzie publikować raportu na temat polityki wynagrodzeń, z uwagi na brak posiadania polityki wynagrodzeń. LPP jednak nie wyklucza stosowanie powyższej zasady w przyszłości.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NETIA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Netia aktualnie nie posiada przyjętej polityki wynagrodzeń. Emitent zweryfikuje funkcjonującą praktykę w tym zakresie i rozważy możliwość wdrożenia w przyszłości stosownych regulacji wewnętrznych.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ORANGE PL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Spółka zamieści w rocznym sprawozdaniu z działalności za 2016 rok informację dotyczącą stosowania tej zasady.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PKP CARGO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Spółka odstępuje od stosowania tej zasady ładu korporacyjnego, do czasu zakończenia procesu analizy zasadności oraz ewentualnego sposobu wdrożenia w Spółce tej zasady ładu korporacyjnego oraz podjęcia przez Zarząd Spółki decyzji o jej zastosowaniu bądź wyłączeniu.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RAFAKO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Spółka stosuje przepisy prawa w tym zakresie.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RAWLPLUG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 xml:space="preserve">Spółka przedstawia w sprawozdaniu z działalności raport na temat polityki wynagrodzeń w zakresie wskazanym w tej zasadzie oprócz: informacji na temat warunków wynagrodzenia każdego z członków zarządu. Spółka traktuje funkcjonujący system wynagrodzeń członków 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lastRenderedPageBreak/>
              <w:t>Zarządu jako część tajemnicy przedsiębiorstwa. Jednocześnie w odniesieniu do publikacji informacji o wynagrodzeniach członków zarządu i rady nadzorczej Spółka stosuje obowiązujące w tym zakresie przepisy prawa. - Oceny funkcjonowania polityki wynagrodzeń z punktu widzenia realizacji jej celów - będzie ona przeprowadzana dopiero po wprowadzeniu nowych zasad dla zarządu i kluczowych menedżerów w 2017 roku.</w:t>
            </w:r>
          </w:p>
        </w:tc>
      </w:tr>
      <w:tr w:rsidR="00F52E27" w:rsidRPr="00F52E27" w:rsidTr="00812985">
        <w:trPr>
          <w:trHeight w:val="567"/>
        </w:trPr>
        <w:tc>
          <w:tcPr>
            <w:tcW w:w="198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lastRenderedPageBreak/>
              <w:t>SYNTHOS</w:t>
            </w:r>
          </w:p>
        </w:tc>
        <w:tc>
          <w:tcPr>
            <w:tcW w:w="7077" w:type="dxa"/>
            <w:vAlign w:val="center"/>
            <w:hideMark/>
          </w:tcPr>
          <w:p w:rsidR="00F52E27" w:rsidRPr="00F52E27" w:rsidRDefault="00F52E27" w:rsidP="00812985">
            <w:pPr>
              <w:jc w:val="both"/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W rocznym sprawozdaniu finansowym Spółka przedstawia informacje na temat wypłaconego wynagrodzenia członkom Zarządu, zgodnie z obowiązującymi przepisami.</w:t>
            </w:r>
          </w:p>
        </w:tc>
      </w:tr>
    </w:tbl>
    <w:p w:rsidR="00F52E27" w:rsidRPr="00F52E27" w:rsidRDefault="00F52E27" w:rsidP="00F52E27">
      <w:pPr>
        <w:spacing w:after="200" w:line="276" w:lineRule="auto"/>
        <w:jc w:val="center"/>
        <w:rPr>
          <w:rFonts w:asciiTheme="minorHAnsi" w:hAnsiTheme="minorHAnsi"/>
          <w:i/>
          <w:color w:val="565350"/>
          <w:sz w:val="20"/>
          <w:szCs w:val="20"/>
          <w:lang w:eastAsia="pl-PL"/>
        </w:rPr>
      </w:pPr>
      <w:r w:rsidRPr="00F52E27">
        <w:rPr>
          <w:rFonts w:asciiTheme="minorHAnsi" w:hAnsiTheme="minorHAnsi"/>
          <w:i/>
          <w:color w:val="565350"/>
          <w:sz w:val="20"/>
          <w:szCs w:val="20"/>
          <w:lang w:eastAsia="pl-PL"/>
        </w:rPr>
        <w:t xml:space="preserve">Źródło: Opracowanie Sedlak </w:t>
      </w:r>
      <w:r w:rsidRPr="00F52E27">
        <w:rPr>
          <w:rFonts w:asciiTheme="minorHAnsi" w:hAnsiTheme="minorHAnsi"/>
          <w:i/>
          <w:color w:val="565350"/>
          <w:sz w:val="16"/>
          <w:szCs w:val="20"/>
          <w:lang w:eastAsia="pl-PL"/>
        </w:rPr>
        <w:t>&amp;</w:t>
      </w:r>
      <w:r w:rsidRPr="00F52E27">
        <w:rPr>
          <w:rFonts w:asciiTheme="minorHAnsi" w:hAnsiTheme="minorHAnsi"/>
          <w:i/>
          <w:color w:val="565350"/>
          <w:sz w:val="20"/>
          <w:szCs w:val="20"/>
          <w:lang w:eastAsia="pl-PL"/>
        </w:rPr>
        <w:t xml:space="preserve"> Sedlak na podstawie danych pochodzących </w:t>
      </w:r>
      <w:r w:rsidRPr="00F52E27">
        <w:rPr>
          <w:rFonts w:asciiTheme="minorHAnsi" w:hAnsiTheme="minorHAnsi"/>
          <w:i/>
          <w:color w:val="565350"/>
          <w:sz w:val="20"/>
          <w:szCs w:val="20"/>
          <w:lang w:eastAsia="pl-PL"/>
        </w:rPr>
        <w:br/>
        <w:t>z raportów finansowych lub z raportów z działalności zarządów spółek za 2015 rok</w:t>
      </w: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 w:cs="Calibri"/>
        </w:rPr>
      </w:pPr>
      <w:r w:rsidRPr="00F52E27">
        <w:rPr>
          <w:rFonts w:asciiTheme="minorHAnsi" w:hAnsiTheme="minorHAnsi" w:cs="Calibri"/>
        </w:rPr>
        <w:t xml:space="preserve">Według naszej oceny przedstawione wyjaśnienia są bardzo powierzchowne i niekonkretne, a co za tym idzie niewystarczające. Spójrzmy np. </w:t>
      </w:r>
      <w:r w:rsidRPr="00F52E27">
        <w:rPr>
          <w:rFonts w:asciiTheme="minorHAnsi" w:hAnsiTheme="minorHAnsi" w:cs="Calibri"/>
          <w:color w:val="000000" w:themeColor="text1"/>
        </w:rPr>
        <w:t>na wyjaśnienie spółki EUROCASH, które brzmi „</w:t>
      </w:r>
      <w:r w:rsidRPr="00F52E27">
        <w:rPr>
          <w:rFonts w:asciiTheme="minorHAnsi" w:hAnsiTheme="minorHAnsi" w:cs="Arial"/>
          <w:bCs/>
          <w:color w:val="000000" w:themeColor="text1"/>
          <w:lang w:eastAsia="pl-PL"/>
        </w:rPr>
        <w:t>W sprawozdaniach podane jest wynagrodzenie każdego z członków zarządu i rady nadzorczej, ale nie jest opisywana polityka wynagrodzeń”. W tym zadaniu spółka tylko zakomunikowała że nie zaprezentowała polityki wynagrodzeń ale nie podała przyczyny. Co ciekawe, dwie spółki: CD PROJEKT i RAWLPLUG stwierdziło, że polityka wynagrodzeń ich menedżerów stanowi tajemnicę przedsiębiorstwa, i że w zakresie wynagradzania stosują obowiązujące przepisy prawa. W związku z tym nasuwa się pytanie czy zasady ładu korporacyjnego nie stanowią przepisów prawa? Na stronie internetowej Giełdy Papierów Wartościowych możemy znaleźć informację :</w:t>
      </w:r>
      <w:r w:rsidRPr="00F52E27">
        <w:rPr>
          <w:rFonts w:asciiTheme="minorHAnsi" w:hAnsiTheme="minorHAnsi"/>
        </w:rPr>
        <w:t xml:space="preserve"> „</w:t>
      </w:r>
      <w:r w:rsidRPr="00F52E27">
        <w:rPr>
          <w:rFonts w:asciiTheme="minorHAnsi" w:hAnsiTheme="minorHAnsi" w:cs="Arial"/>
          <w:bCs/>
          <w:color w:val="000000" w:themeColor="text1"/>
          <w:lang w:eastAsia="pl-PL"/>
        </w:rPr>
        <w:t xml:space="preserve">Kodeks dobrych praktyk, jest tzw. miękkim prawem. Oznacza to, że spółki powinny je stosować (zakłada się, że wchodząc na giełdę akceptują i będą realizować tę powinność), ale jednocześnie za ich niestosowanie lub tylko częściowe stosowanie nie grożą im żadne sankcje ze strony GPW. Zgodnie z zasadą </w:t>
      </w:r>
      <w:proofErr w:type="spellStart"/>
      <w:r w:rsidRPr="00F52E27">
        <w:rPr>
          <w:rFonts w:asciiTheme="minorHAnsi" w:hAnsiTheme="minorHAnsi" w:cs="Arial"/>
          <w:bCs/>
          <w:i/>
          <w:color w:val="000000" w:themeColor="text1"/>
          <w:lang w:eastAsia="pl-PL"/>
        </w:rPr>
        <w:t>comply</w:t>
      </w:r>
      <w:proofErr w:type="spellEnd"/>
      <w:r w:rsidRPr="00F52E27">
        <w:rPr>
          <w:rFonts w:asciiTheme="minorHAnsi" w:hAnsiTheme="minorHAnsi" w:cs="Arial"/>
          <w:bCs/>
          <w:i/>
          <w:color w:val="000000" w:themeColor="text1"/>
          <w:lang w:eastAsia="pl-PL"/>
        </w:rPr>
        <w:t xml:space="preserve"> </w:t>
      </w:r>
      <w:proofErr w:type="spellStart"/>
      <w:r w:rsidRPr="00F52E27">
        <w:rPr>
          <w:rFonts w:asciiTheme="minorHAnsi" w:hAnsiTheme="minorHAnsi" w:cs="Arial"/>
          <w:bCs/>
          <w:i/>
          <w:color w:val="000000" w:themeColor="text1"/>
          <w:lang w:eastAsia="pl-PL"/>
        </w:rPr>
        <w:t>or</w:t>
      </w:r>
      <w:proofErr w:type="spellEnd"/>
      <w:r w:rsidRPr="00F52E27">
        <w:rPr>
          <w:rFonts w:asciiTheme="minorHAnsi" w:hAnsiTheme="minorHAnsi" w:cs="Arial"/>
          <w:bCs/>
          <w:i/>
          <w:color w:val="000000" w:themeColor="text1"/>
          <w:lang w:eastAsia="pl-PL"/>
        </w:rPr>
        <w:t xml:space="preserve"> </w:t>
      </w:r>
      <w:proofErr w:type="spellStart"/>
      <w:r w:rsidRPr="00F52E27">
        <w:rPr>
          <w:rFonts w:asciiTheme="minorHAnsi" w:hAnsiTheme="minorHAnsi" w:cs="Arial"/>
          <w:bCs/>
          <w:i/>
          <w:color w:val="000000" w:themeColor="text1"/>
          <w:lang w:eastAsia="pl-PL"/>
        </w:rPr>
        <w:t>explain</w:t>
      </w:r>
      <w:proofErr w:type="spellEnd"/>
      <w:r w:rsidRPr="00F52E27">
        <w:rPr>
          <w:rFonts w:asciiTheme="minorHAnsi" w:hAnsiTheme="minorHAnsi" w:cs="Arial"/>
          <w:bCs/>
          <w:color w:val="000000" w:themeColor="text1"/>
          <w:lang w:eastAsia="pl-PL"/>
        </w:rPr>
        <w:t xml:space="preserve">, spółki mogą wprawdzie nie stosować zasad Dobrych Praktyk, jednak w przypadku niestosowania którejkolwiek z zasad (trwałym bądź incydentalnym) na spółce ciąży obowiązek poinformowania rynku o tym fakcie”. Niestety, naszym zdaniem przedstawione w tabeli 1. wyjaśnienia nie spełniają wymogów informacyjnych. Żadna ze spółek nie podała konkretnej przyczyny nie ujawnienia informacji o funkcjonującej polityce wynagradzania. Nasze zaniepokojenie budzi również fakt, iż wraz z wejściem w życie Dobrych Praktyk 2016 Giełda zobowiązała się monitorować sposób wypełniania przez emitentów tych regulacji, w szczególności miała weryfikować jakość wyjaśnień publikowanych przez spółki. Jednakże przedstawione przykłady wskazują, że tak nie jest. </w:t>
      </w:r>
    </w:p>
    <w:p w:rsidR="00F52E27" w:rsidRPr="00F52E27" w:rsidRDefault="00F52E27" w:rsidP="00F52E27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F52E27" w:rsidRDefault="00F52E27" w:rsidP="00F52E27">
      <w:pPr>
        <w:spacing w:line="276" w:lineRule="auto"/>
        <w:jc w:val="both"/>
        <w:rPr>
          <w:rFonts w:asciiTheme="minorHAnsi" w:hAnsiTheme="minorHAnsi" w:cs="Calibri"/>
        </w:rPr>
      </w:pPr>
      <w:r w:rsidRPr="00F52E27">
        <w:rPr>
          <w:rFonts w:asciiTheme="minorHAnsi" w:hAnsiTheme="minorHAnsi" w:cs="Calibri"/>
        </w:rPr>
        <w:lastRenderedPageBreak/>
        <w:t xml:space="preserve">W kolejnej tabeli prezentujemy informacje z pozostałych 18 spółek dotyczące kryteriów premiowania. Dane te pochodzą z raportów finansowych lub z raportów z działalności zarządów spółek za 2015 rok. </w:t>
      </w: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jc w:val="center"/>
        <w:rPr>
          <w:rFonts w:asciiTheme="minorHAnsi" w:hAnsiTheme="minorHAnsi"/>
          <w:b/>
          <w:bCs/>
          <w:color w:val="365F91" w:themeColor="accent1" w:themeShade="BF"/>
          <w:lang w:eastAsia="pl-PL"/>
        </w:rPr>
      </w:pPr>
      <w:r w:rsidRPr="00F52E27">
        <w:rPr>
          <w:rFonts w:asciiTheme="minorHAnsi" w:hAnsiTheme="minorHAnsi"/>
          <w:b/>
          <w:bCs/>
          <w:color w:val="365F91" w:themeColor="accent1" w:themeShade="BF"/>
          <w:lang w:eastAsia="pl-PL"/>
        </w:rPr>
        <w:t xml:space="preserve">Tabela 2. Kluczowe parametry ustalania wynagrodzenia zmiennego </w:t>
      </w:r>
      <w:r w:rsidRPr="00F52E27">
        <w:rPr>
          <w:rFonts w:asciiTheme="minorHAnsi" w:hAnsiTheme="minorHAnsi"/>
          <w:b/>
          <w:bCs/>
          <w:color w:val="365F91" w:themeColor="accent1" w:themeShade="BF"/>
          <w:lang w:eastAsia="pl-PL"/>
        </w:rPr>
        <w:br/>
        <w:t>członków zarządów spółek giełdowych</w:t>
      </w:r>
    </w:p>
    <w:tbl>
      <w:tblPr>
        <w:tblStyle w:val="Tabela-Siatka"/>
        <w:tblW w:w="9288" w:type="dxa"/>
        <w:tblBorders>
          <w:top w:val="single" w:sz="4" w:space="0" w:color="FFDEBF"/>
          <w:left w:val="none" w:sz="0" w:space="0" w:color="auto"/>
          <w:bottom w:val="single" w:sz="4" w:space="0" w:color="FFDEBF"/>
          <w:right w:val="none" w:sz="0" w:space="0" w:color="auto"/>
          <w:insideH w:val="single" w:sz="4" w:space="0" w:color="FFDE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195"/>
      </w:tblGrid>
      <w:tr w:rsidR="00F52E27" w:rsidRPr="00F52E27" w:rsidTr="00812985">
        <w:trPr>
          <w:trHeight w:val="567"/>
        </w:trPr>
        <w:tc>
          <w:tcPr>
            <w:tcW w:w="2093" w:type="dxa"/>
            <w:shd w:val="clear" w:color="auto" w:fill="FFF2E9"/>
            <w:vAlign w:val="center"/>
            <w:hideMark/>
          </w:tcPr>
          <w:p w:rsidR="00F52E27" w:rsidRPr="00F52E27" w:rsidRDefault="00F52E27" w:rsidP="00812985">
            <w:pPr>
              <w:jc w:val="center"/>
              <w:rPr>
                <w:rFonts w:asciiTheme="minorHAnsi" w:hAnsiTheme="minorHAnsi" w:cs="Arial"/>
                <w:b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/>
                <w:bCs/>
                <w:color w:val="565353"/>
                <w:lang w:eastAsia="pl-PL"/>
              </w:rPr>
              <w:t>nazwa spółki</w:t>
            </w:r>
          </w:p>
        </w:tc>
        <w:tc>
          <w:tcPr>
            <w:tcW w:w="7195" w:type="dxa"/>
            <w:shd w:val="clear" w:color="auto" w:fill="FFF2E9"/>
            <w:vAlign w:val="center"/>
            <w:hideMark/>
          </w:tcPr>
          <w:p w:rsidR="00F52E27" w:rsidRPr="00F52E27" w:rsidRDefault="00F52E27" w:rsidP="00812985">
            <w:pPr>
              <w:jc w:val="center"/>
              <w:rPr>
                <w:rFonts w:asciiTheme="minorHAnsi" w:hAnsiTheme="minorHAnsi" w:cs="Arial"/>
                <w:b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/>
                <w:bCs/>
                <w:color w:val="565353"/>
                <w:lang w:eastAsia="pl-PL"/>
              </w:rPr>
              <w:t>kluczowe parametry ustalania wynagrodzenia zmiennego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APATOR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stopnień realizacji wyznaczonych inicjatyw strategicznych na dany rok, których zakres ustala Rada Nadzorcza (Inicjatywy związane były przede wszystkim z wykonaniem planów finansowych, realizacją ustalonych zamierzeń rozwojowych w zakresie produktów i kosztów oraz udoskonalaniem systemów zarządzania)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ocena osiągniętych przez spółkę kwartalnych wyników finansowych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ASSECOPOL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wysokość osiągniętej marży IV przez jednostki nadzorowane bezpośrednio przez Członka Zarządu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wysokość osiągniętego zysku netto grupy kapitałowej Spółki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BOGDANKA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premia roczna (…) obliczana na zasadach szczegółowo określonych w Umowie o świadczenie usług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BUDIMEX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ocena realizacji zadań rocznych</w:t>
            </w:r>
          </w:p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realizacja wskaźników dotyczących działalności biznesowej Grupy Budimex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CCC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zrealizowane przez Spółkę zyski</w:t>
            </w:r>
          </w:p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 xml:space="preserve">- stopień realizacji wykonania indywidualnych zadań (jakościowych oraz ilościowych) 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ELEKTROBUDOWA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wykonanie założonych parametrów ekonomiczno-finansowych danego roku obrotowego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ENEA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premia obliczana na zasadach szczegółowo określonych w umowie o świadczenie usług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GPW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 xml:space="preserve">- wykazanie przez Spółkę odpowiedniego poziomu zysku netto </w:t>
            </w:r>
          </w:p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pozostawanie w zatrudnieniu na trzydziesty dzień po opublikowaniu skonsolidowanego sprawozdania finansowego Grupy GPW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udzielenie absolutorium z wykonania przez Członków Zarządu obowiązków za ostatni rok premiowy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ocena wykonania obowiązków oraz osiągniętych przez Spółkę wyników, a także weryfikacji skutków działań podejmowanych przez Członków Zarządu w poprzednich latach premiowych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GRUPA AZOTY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część zmienna wynagrodzenia, uzależniona jest od wyników, zgodnie z regulaminem zatwierdzonym przez Radę Nadzorczą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JSW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realizacja wyznaczonych zadań (osiągnięcia wskaźników) określonych w Karcie KPI ustalanej każdorazowo przez Radę Nadzorczą i Zarządzającego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lastRenderedPageBreak/>
              <w:t>KGHM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 xml:space="preserve">- realizacja kryteriów (zadań) określonych i uzgodnionych z Radą Nadzorczą oraz kluczowych wskaźników efektywności (KPI) 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KOGENERACJA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premie dla Członków Zarządu przyznawane są na podstawie oceny Rady Nadzorczej wyników osiągniętych przez Spółkę i stopnia realizacji innych celów Zarządu</w:t>
            </w:r>
          </w:p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 xml:space="preserve">- ocena realizacji celów MBO (Management by </w:t>
            </w:r>
            <w:proofErr w:type="spellStart"/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Objectives</w:t>
            </w:r>
            <w:proofErr w:type="spellEnd"/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 xml:space="preserve"> – Zarządzanie przez Cele) w pięciu kategoriach: wyniki finansowe oraz wskaźniki operacyjne, rozwój i zarządzanie ryzykiem, projekty strategiczne i rozwojowe, bezpieczeństwo, zaangażowanie pracowników i relacje społeczne oraz cele indywidualne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PELION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wypłata premii uzależniona jest od realizacji zarówno wspólnych celów dla wszystkich członków Zarządu, jak i celów indywidualnych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PGE</w:t>
            </w:r>
          </w:p>
        </w:tc>
        <w:tc>
          <w:tcPr>
            <w:tcW w:w="7195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premia uzależniona jest od wyników finansowych Spółki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PKN ORLEN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EBIT raportowany Koncernu,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EBITDA wg LIFO Koncernu (% realizacji planu w makro rzeczywistym),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CAPEX utrzymaniowy Koncernu + koszty ogólne i osobowe Koncernu (% realizacji planu w makro rzeczywistym),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CAPEX rozwojowy Koncernu (% realizacji planu w makro rzeczywistym),</w:t>
            </w:r>
          </w:p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wskaźnik giełdowy: TSR PKN ORLEN względem rynku,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wskaźnik wypadkowości: TRR Koncernu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PZU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wyniki nadzorowanego przez członka Zarządu obszaru biznesowego</w:t>
            </w:r>
          </w:p>
        </w:tc>
      </w:tr>
      <w:tr w:rsidR="00F52E27" w:rsidRPr="00F52E27" w:rsidTr="00812985">
        <w:trPr>
          <w:trHeight w:val="567"/>
        </w:trPr>
        <w:tc>
          <w:tcPr>
            <w:tcW w:w="2093" w:type="dxa"/>
            <w:noWrap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TAURON PE</w:t>
            </w:r>
          </w:p>
        </w:tc>
        <w:tc>
          <w:tcPr>
            <w:tcW w:w="7195" w:type="dxa"/>
            <w:vAlign w:val="center"/>
            <w:hideMark/>
          </w:tcPr>
          <w:p w:rsidR="00F52E27" w:rsidRPr="00F52E27" w:rsidRDefault="00F52E27" w:rsidP="00812985">
            <w:pPr>
              <w:rPr>
                <w:rFonts w:asciiTheme="minorHAnsi" w:hAnsiTheme="minorHAnsi" w:cs="Arial"/>
                <w:bCs/>
                <w:color w:val="565353"/>
                <w:lang w:eastAsia="pl-PL"/>
              </w:rPr>
            </w:pP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t>- skonsolidowana EBITDA z zatwierdzonego skonsolidowanego planu rzeczowo-finansowego na dany rok obrotowy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skonsolidowany zysk brutto z zatwierdzonego skonsolidowanego planu rzeczowo-finansowego na dany rok obrotowy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wskaźnik płynności bieżącej mierzony dla Grupy Kapitałowej TAURON z zatwierdzonego skonsolidowanego planu rzeczowo-finansowego na dany rok obrotowy</w:t>
            </w:r>
            <w:r w:rsidRPr="00F52E27">
              <w:rPr>
                <w:rFonts w:asciiTheme="minorHAnsi" w:hAnsiTheme="minorHAnsi" w:cs="Arial"/>
                <w:bCs/>
                <w:color w:val="565353"/>
                <w:lang w:eastAsia="pl-PL"/>
              </w:rPr>
              <w:br/>
              <w:t>- realizacja niefinansowych celów wskazanych na dany rok w zatwierdzonej Strategii Korporacyjnej</w:t>
            </w:r>
          </w:p>
        </w:tc>
      </w:tr>
    </w:tbl>
    <w:p w:rsidR="00F52E27" w:rsidRPr="00F52E27" w:rsidRDefault="00F52E27" w:rsidP="00F52E27">
      <w:pPr>
        <w:spacing w:after="200" w:line="276" w:lineRule="auto"/>
        <w:jc w:val="center"/>
        <w:rPr>
          <w:rFonts w:asciiTheme="minorHAnsi" w:hAnsiTheme="minorHAnsi"/>
          <w:i/>
          <w:color w:val="565350"/>
          <w:sz w:val="20"/>
          <w:szCs w:val="20"/>
          <w:lang w:eastAsia="pl-PL"/>
        </w:rPr>
      </w:pPr>
      <w:r w:rsidRPr="00F52E27">
        <w:rPr>
          <w:rFonts w:asciiTheme="minorHAnsi" w:hAnsiTheme="minorHAnsi"/>
          <w:i/>
          <w:color w:val="565350"/>
          <w:sz w:val="20"/>
          <w:szCs w:val="20"/>
          <w:lang w:eastAsia="pl-PL"/>
        </w:rPr>
        <w:t xml:space="preserve">Źródło: Opracowanie Sedlak </w:t>
      </w:r>
      <w:r w:rsidRPr="00F52E27">
        <w:rPr>
          <w:rFonts w:asciiTheme="minorHAnsi" w:hAnsiTheme="minorHAnsi"/>
          <w:i/>
          <w:color w:val="565350"/>
          <w:sz w:val="16"/>
          <w:szCs w:val="20"/>
          <w:lang w:eastAsia="pl-PL"/>
        </w:rPr>
        <w:t xml:space="preserve">&amp; </w:t>
      </w:r>
      <w:r w:rsidRPr="00F52E27">
        <w:rPr>
          <w:rFonts w:asciiTheme="minorHAnsi" w:hAnsiTheme="minorHAnsi"/>
          <w:i/>
          <w:color w:val="565350"/>
          <w:sz w:val="20"/>
          <w:szCs w:val="20"/>
          <w:lang w:eastAsia="pl-PL"/>
        </w:rPr>
        <w:t xml:space="preserve">Sedlak na podstawie danych pochodzących </w:t>
      </w:r>
      <w:r w:rsidRPr="00F52E27">
        <w:rPr>
          <w:rFonts w:asciiTheme="minorHAnsi" w:hAnsiTheme="minorHAnsi"/>
          <w:i/>
          <w:color w:val="565350"/>
          <w:sz w:val="20"/>
          <w:szCs w:val="20"/>
          <w:lang w:eastAsia="pl-PL"/>
        </w:rPr>
        <w:br/>
        <w:t>z raportów finansowych lub z raportów z działalności zarządów spółek za 2015 rok</w:t>
      </w:r>
    </w:p>
    <w:p w:rsidR="00F52E27" w:rsidRPr="00F52E27" w:rsidRDefault="00F52E27" w:rsidP="00F52E27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  <w:r w:rsidRPr="00F52E27">
        <w:rPr>
          <w:rFonts w:asciiTheme="minorHAnsi" w:hAnsiTheme="minorHAnsi" w:cs="Calibri"/>
        </w:rPr>
        <w:t xml:space="preserve">Z tabeli powyżej wynika, iż głównymi determinantami wynagrodzenia zmiennego członków zarządów są wyniki finansowe spółki oraz ocena pracy menedżera. Cztery spółki: TAURON PE, PKN ORLEN, GPW oraz ASSECOPOL zaprezentowały również nazwy kryteriów premiowych. Dla osób nie związanych z tematyką wynagradzania tak przedstawione kryteria mogłyby wydawać się poprawne. Jednakże według naszej oceny są one zbyt ogólne. Zgodnie z definicją premia jest to zmienny składnik </w:t>
      </w:r>
      <w:r w:rsidRPr="00F52E27">
        <w:rPr>
          <w:rFonts w:asciiTheme="minorHAnsi" w:hAnsiTheme="minorHAnsi" w:cs="Calibri"/>
        </w:rPr>
        <w:lastRenderedPageBreak/>
        <w:t xml:space="preserve">wynagrodzenia, który pracownicy otrzymują za konkretny efekt pracy. Niestety, z zaprezentowanych powyżej informacji nie wiemy jakie wyniki muszą osiągnąć menedżerowie aby otrzymać premię. Żadna z badanych firm nie podała wielkości i parametrów KPI. W związku z tym akcjonariusze nie mają możliwości sprawdzenia ich realizacji przez poszczególne osoby. A co za tym idzie zweryfikowania, czy premie zostały przyznane sprawiedliwie. Spójrzmy np. na kryteria spółki PKN ORLEN czyli: EBIT, EBITDA, CAPEX i TSR. Same nazwy kryteriów nie dostarczają żadnej wartościowej informacji. Na ich podstawie nie wiemy czy np. EBIT ma być wyższy niż w roku ubiegłym, czy na takim samym poziomie, a może dopuszczalny jest wynik niższy? To samo dotyczy wskaźnika TSR względem rynku. Warto zastanowić się co spółka rozumie jako rynek, czyli swój punkt odniesienia. Czy są to spółki z branży, czy o podobnej wielkości? Ponadto chcielibyśmy zwrócić uwagę na spółki, które w sprawozdaniach odwołują się do innych dokumentów tj. np. umowy, które nie są ogólnie dostępne. </w:t>
      </w: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  <w:r w:rsidRPr="00F52E27">
        <w:rPr>
          <w:rFonts w:asciiTheme="minorHAnsi" w:hAnsiTheme="minorHAnsi" w:cs="Calibri"/>
        </w:rPr>
        <w:t xml:space="preserve">Przytoczone pytania i wątpliwości są tylko przykładami. Istota rzeczy sprowadza się do tego, iż pomimo wprowadzenia nowych zasad ładu korporacyjnego, spółki nadal publikują bardzo ogólne i niewystarczające informacje. Przypominamy, że w artykule zostały uwzględnione spółki z WiG30 i </w:t>
      </w:r>
      <w:proofErr w:type="spellStart"/>
      <w:r w:rsidRPr="00F52E27">
        <w:rPr>
          <w:rFonts w:asciiTheme="minorHAnsi" w:hAnsiTheme="minorHAnsi" w:cs="Calibri"/>
        </w:rPr>
        <w:t>WiG</w:t>
      </w:r>
      <w:proofErr w:type="spellEnd"/>
      <w:r w:rsidRPr="00F52E27">
        <w:rPr>
          <w:rFonts w:asciiTheme="minorHAnsi" w:hAnsiTheme="minorHAnsi" w:cs="Calibri"/>
        </w:rPr>
        <w:t xml:space="preserve"> </w:t>
      </w:r>
      <w:proofErr w:type="spellStart"/>
      <w:r w:rsidRPr="00F52E27">
        <w:rPr>
          <w:rFonts w:asciiTheme="minorHAnsi" w:hAnsiTheme="minorHAnsi" w:cs="Calibri"/>
        </w:rPr>
        <w:t>Respect</w:t>
      </w:r>
      <w:proofErr w:type="spellEnd"/>
      <w:r w:rsidRPr="00F52E27">
        <w:rPr>
          <w:rFonts w:asciiTheme="minorHAnsi" w:hAnsiTheme="minorHAnsi" w:cs="Calibri"/>
        </w:rPr>
        <w:t xml:space="preserve">, których sprawozdania i transparentność przekazywanych informacji powinny być wzorem dla innych. </w:t>
      </w: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  <w:r w:rsidRPr="00F52E27">
        <w:rPr>
          <w:rFonts w:asciiTheme="minorHAnsi" w:hAnsiTheme="minorHAnsi" w:cs="Calibri"/>
        </w:rPr>
        <w:t xml:space="preserve">Mamy nadzieję, że w przyszłym roku spółki zaprezentują w raportach więcej szczegółowych informacji na temat funkcjonowania systemów wynagrodzeń wyższej kadry zarządzającej. Na pewno jako wzór dobrego raportowania mogą posłużyć raporty spółek notowanych na amerykańskim rynku kapitałowym. W </w:t>
      </w:r>
      <w:proofErr w:type="spellStart"/>
      <w:r w:rsidRPr="00F52E27">
        <w:rPr>
          <w:rFonts w:asciiTheme="minorHAnsi" w:hAnsiTheme="minorHAnsi" w:cs="Calibri"/>
          <w:i/>
        </w:rPr>
        <w:t>proxy</w:t>
      </w:r>
      <w:proofErr w:type="spellEnd"/>
      <w:r w:rsidRPr="00F52E27">
        <w:rPr>
          <w:rFonts w:asciiTheme="minorHAnsi" w:hAnsiTheme="minorHAnsi" w:cs="Calibri"/>
          <w:i/>
        </w:rPr>
        <w:t xml:space="preserve"> </w:t>
      </w:r>
      <w:proofErr w:type="spellStart"/>
      <w:r w:rsidRPr="00F52E27">
        <w:rPr>
          <w:rFonts w:asciiTheme="minorHAnsi" w:hAnsiTheme="minorHAnsi" w:cs="Calibri"/>
          <w:i/>
        </w:rPr>
        <w:t>statemnt</w:t>
      </w:r>
      <w:proofErr w:type="spellEnd"/>
      <w:r w:rsidRPr="00F52E27">
        <w:rPr>
          <w:rFonts w:asciiTheme="minorHAnsi" w:hAnsiTheme="minorHAnsi" w:cs="Calibri"/>
        </w:rPr>
        <w:t xml:space="preserve"> każdej spółki możemy znaleźć szczegółowe i wyczerpujące informacje na temat polityki wynagradzania i premiowania top menedżerów.</w:t>
      </w:r>
    </w:p>
    <w:p w:rsidR="00F52E27" w:rsidRPr="00F52E27" w:rsidRDefault="00F52E27" w:rsidP="00F52E2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</w:rPr>
      </w:pP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/>
        </w:rPr>
      </w:pPr>
      <w:r w:rsidRPr="00F52E27">
        <w:rPr>
          <w:rFonts w:asciiTheme="minorHAnsi" w:hAnsiTheme="minorHAnsi"/>
        </w:rPr>
        <w:t>Reasumując, pomimo istnienia wielu dokumentów mających za zadanie uregulowanie kwestii informacyjnych oraz zwiększenia przejrzystości spółki notowane na GPW z dużą dowolnością podchodzą do kwestii raportowania i ujawniania informacji o wynagrodzeniach kadry zarządzającej. Taka sytuacja będzie miała miejsce dopóty, dopóki organy nadzorcze nie wprowadzą konkretnych i ściśle określonych zasad i wytycznych. Ujednolicony sposób raportowania przyczyniłby się do większej przejrzystości informacji i byłby korzystny nie tylko dla inwestorów ale również dla samych spółek.</w:t>
      </w: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/>
          <w:b/>
          <w:bCs/>
          <w:color w:val="365F91" w:themeColor="accent1" w:themeShade="BF"/>
          <w:lang w:eastAsia="pl-PL"/>
        </w:rPr>
      </w:pPr>
    </w:p>
    <w:p w:rsidR="00F52E27" w:rsidRDefault="00F52E27">
      <w:pPr>
        <w:rPr>
          <w:rFonts w:asciiTheme="minorHAnsi" w:hAnsiTheme="minorHAnsi"/>
          <w:b/>
          <w:bCs/>
          <w:i/>
          <w:color w:val="002060"/>
          <w:lang w:eastAsia="pl-PL"/>
        </w:rPr>
      </w:pPr>
      <w:r>
        <w:rPr>
          <w:rFonts w:asciiTheme="minorHAnsi" w:hAnsiTheme="minorHAnsi"/>
          <w:b/>
          <w:bCs/>
          <w:i/>
          <w:color w:val="002060"/>
          <w:lang w:eastAsia="pl-PL"/>
        </w:rPr>
        <w:br w:type="page"/>
      </w: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/>
          <w:b/>
          <w:bCs/>
          <w:i/>
          <w:color w:val="002060"/>
          <w:lang w:eastAsia="pl-PL"/>
        </w:rPr>
      </w:pPr>
      <w:r w:rsidRPr="00F52E27">
        <w:rPr>
          <w:rFonts w:asciiTheme="minorHAnsi" w:hAnsiTheme="minorHAnsi"/>
          <w:b/>
          <w:bCs/>
          <w:i/>
          <w:color w:val="002060"/>
          <w:lang w:eastAsia="pl-PL"/>
        </w:rPr>
        <w:lastRenderedPageBreak/>
        <w:t>Iwona Wabik-Szuba</w:t>
      </w: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/>
          <w:b/>
          <w:bCs/>
          <w:i/>
          <w:color w:val="002060"/>
          <w:lang w:eastAsia="pl-PL"/>
        </w:rPr>
      </w:pPr>
      <w:r w:rsidRPr="00F52E27">
        <w:rPr>
          <w:rFonts w:asciiTheme="minorHAnsi" w:hAnsiTheme="minorHAnsi"/>
          <w:b/>
          <w:bCs/>
          <w:i/>
          <w:color w:val="002060"/>
          <w:lang w:eastAsia="pl-PL"/>
        </w:rPr>
        <w:t xml:space="preserve">Sedlak </w:t>
      </w:r>
      <w:r w:rsidRPr="00F52E27">
        <w:rPr>
          <w:rFonts w:asciiTheme="minorHAnsi" w:hAnsiTheme="minorHAnsi"/>
          <w:b/>
          <w:bCs/>
          <w:i/>
          <w:color w:val="002060"/>
          <w:sz w:val="20"/>
          <w:lang w:eastAsia="pl-PL"/>
        </w:rPr>
        <w:t>&amp;</w:t>
      </w:r>
      <w:r w:rsidRPr="00F52E27">
        <w:rPr>
          <w:rFonts w:asciiTheme="minorHAnsi" w:hAnsiTheme="minorHAnsi"/>
          <w:b/>
          <w:bCs/>
          <w:i/>
          <w:color w:val="002060"/>
          <w:lang w:eastAsia="pl-PL"/>
        </w:rPr>
        <w:t xml:space="preserve"> Sedlak </w:t>
      </w: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/>
          <w:b/>
          <w:bCs/>
          <w:color w:val="002060"/>
          <w:lang w:eastAsia="pl-PL"/>
        </w:rPr>
      </w:pP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/>
          <w:b/>
          <w:bCs/>
          <w:color w:val="002060"/>
          <w:lang w:eastAsia="pl-PL"/>
        </w:rPr>
      </w:pP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/>
        </w:rPr>
      </w:pPr>
      <w:r w:rsidRPr="00F52E27">
        <w:rPr>
          <w:rFonts w:asciiTheme="minorHAnsi" w:hAnsiTheme="minorHAnsi"/>
          <w:b/>
          <w:bCs/>
          <w:color w:val="002060"/>
          <w:lang w:eastAsia="pl-PL"/>
        </w:rPr>
        <w:t>Bibliografia</w:t>
      </w:r>
      <w:r w:rsidRPr="00F52E27">
        <w:rPr>
          <w:rFonts w:asciiTheme="minorHAnsi" w:hAnsiTheme="minorHAnsi"/>
          <w:b/>
          <w:bCs/>
          <w:color w:val="002060"/>
          <w:lang w:eastAsia="pl-PL"/>
        </w:rPr>
        <w:br/>
      </w:r>
      <w:r w:rsidRPr="00F52E27">
        <w:rPr>
          <w:rFonts w:asciiTheme="minorHAnsi" w:hAnsiTheme="minorHAnsi"/>
        </w:rPr>
        <w:t>1. GPW, Dobre Praktyki Spółek Notowanych na GPW 2016, Warszawa 2015</w:t>
      </w: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/>
        </w:rPr>
      </w:pPr>
      <w:r w:rsidRPr="00F52E27">
        <w:rPr>
          <w:rFonts w:asciiTheme="minorHAnsi" w:hAnsiTheme="minorHAnsi"/>
        </w:rPr>
        <w:t>2. A.S. Nartowski, Dobre praktyki spółek notowanych na GPW 2016 – Podręcznik, Warszawa, 2016</w:t>
      </w:r>
    </w:p>
    <w:p w:rsidR="00F52E27" w:rsidRPr="00F52E27" w:rsidRDefault="00F52E27" w:rsidP="00F52E27">
      <w:pPr>
        <w:spacing w:line="276" w:lineRule="auto"/>
        <w:jc w:val="both"/>
        <w:rPr>
          <w:rFonts w:asciiTheme="minorHAnsi" w:hAnsiTheme="minorHAnsi"/>
        </w:rPr>
      </w:pPr>
      <w:r w:rsidRPr="00F52E27">
        <w:rPr>
          <w:rFonts w:asciiTheme="minorHAnsi" w:hAnsiTheme="minorHAnsi"/>
        </w:rPr>
        <w:t xml:space="preserve">3. Raport „Wynagrodzenia członków zarządów spółek giełdowych w 2015 roku, Sedlak </w:t>
      </w:r>
      <w:r w:rsidRPr="00F52E27">
        <w:rPr>
          <w:rFonts w:asciiTheme="minorHAnsi" w:hAnsiTheme="minorHAnsi"/>
          <w:sz w:val="18"/>
        </w:rPr>
        <w:t>&amp;</w:t>
      </w:r>
      <w:r w:rsidRPr="00F52E27">
        <w:rPr>
          <w:rFonts w:asciiTheme="minorHAnsi" w:hAnsiTheme="minorHAnsi"/>
        </w:rPr>
        <w:t xml:space="preserve"> Sedlak, Kraków, 2016</w:t>
      </w:r>
    </w:p>
    <w:p w:rsidR="00F52E27" w:rsidRPr="00B05209" w:rsidRDefault="00F52E27" w:rsidP="00F52E27">
      <w:pPr>
        <w:spacing w:line="276" w:lineRule="auto"/>
        <w:jc w:val="both"/>
      </w:pPr>
      <w:r w:rsidRPr="00F52E27">
        <w:rPr>
          <w:rFonts w:asciiTheme="minorHAnsi" w:hAnsiTheme="minorHAnsi"/>
        </w:rPr>
        <w:t>4. GPW, Relacje inwestorskie i zasady dobrych praktyk</w:t>
      </w:r>
      <w:r>
        <w:rPr>
          <w:rFonts w:asciiTheme="minorHAnsi" w:hAnsiTheme="minorHAnsi"/>
        </w:rPr>
        <w:t xml:space="preserve">, </w:t>
      </w:r>
      <w:r w:rsidRPr="00F52E27">
        <w:rPr>
          <w:rFonts w:asciiTheme="minorHAnsi" w:hAnsiTheme="minorHAnsi"/>
        </w:rPr>
        <w:t>https://www.gpw.pl/RI_dobre_praktyki</w:t>
      </w:r>
    </w:p>
    <w:p w:rsidR="0000005A" w:rsidRPr="00017379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681531" w:rsidRDefault="002B358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 w:rsidRPr="0068153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535AB5E" wp14:editId="66FC1475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7B7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</w:rPr>
        <w:drawing>
          <wp:inline distT="0" distB="0" distL="0" distR="0" wp14:anchorId="6FA9A823" wp14:editId="5AA44C89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667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="Calibri"/>
          <w:b/>
          <w:sz w:val="22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linku do strony </w:t>
      </w:r>
      <w:r w:rsidR="00326667">
        <w:rPr>
          <w:rFonts w:asciiTheme="minorHAnsi" w:eastAsia="Calibri" w:hAnsiTheme="minorHAnsi" w:cs="Calibri"/>
          <w:b/>
          <w:sz w:val="22"/>
          <w:lang w:eastAsia="pl-PL"/>
        </w:rPr>
        <w:t>o wynagrodzeniach menedżerów spółek giełdowych: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</w:t>
      </w:r>
    </w:p>
    <w:p w:rsidR="00326667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="Calibri"/>
          <w:b/>
          <w:sz w:val="22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3" w:history="1">
        <w:r w:rsidR="00326667" w:rsidRPr="008F112C">
          <w:rPr>
            <w:rStyle w:val="Hipercze"/>
          </w:rPr>
          <w:t>http://wynagrodzenia.pl/wynagrodzenia-menedzerow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>)</w:t>
      </w:r>
    </w:p>
    <w:p w:rsidR="003974B4" w:rsidRPr="00326667" w:rsidRDefault="00EA72FE" w:rsidP="00326667">
      <w:pPr>
        <w:autoSpaceDE w:val="0"/>
        <w:autoSpaceDN w:val="0"/>
        <w:adjustRightInd w:val="0"/>
        <w:spacing w:before="240"/>
        <w:jc w:val="both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czcionką nie mniejszą niż czcionka użyta w publikacji. </w:t>
      </w:r>
    </w:p>
    <w:sectPr w:rsidR="003974B4" w:rsidRPr="00326667" w:rsidSect="00E107E8">
      <w:headerReference w:type="default" r:id="rId14"/>
      <w:footerReference w:type="default" r:id="rId15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62A" w:rsidRDefault="0007162A">
      <w:r>
        <w:separator/>
      </w:r>
    </w:p>
  </w:endnote>
  <w:endnote w:type="continuationSeparator" w:id="0">
    <w:p w:rsidR="0007162A" w:rsidRDefault="0007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2A" w:rsidRDefault="002B358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5B49533" wp14:editId="6BCC922D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1333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0CA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62A" w:rsidRDefault="0007162A">
      <w:r>
        <w:separator/>
      </w:r>
    </w:p>
  </w:footnote>
  <w:footnote w:type="continuationSeparator" w:id="0">
    <w:p w:rsidR="0007162A" w:rsidRDefault="00071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D237895" wp14:editId="64D5CCB6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58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791B4120" wp14:editId="259E4EC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A3A3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19"/>
  </w:num>
  <w:num w:numId="7">
    <w:abstractNumId w:val="17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/>
  <w:defaultTabStop w:val="708"/>
  <w:hyphenationZone w:val="425"/>
  <w:characterSpacingControl w:val="doNotCompress"/>
  <w:hdrShapeDefaults>
    <o:shapedefaults v:ext="edit" spidmax="163841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379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1D6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D74D8"/>
    <w:rsid w:val="002E18BF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26667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3EBA"/>
    <w:rsid w:val="003A443A"/>
    <w:rsid w:val="003A73F1"/>
    <w:rsid w:val="003B1BE0"/>
    <w:rsid w:val="003B35F2"/>
    <w:rsid w:val="003B5D5E"/>
    <w:rsid w:val="003C1054"/>
    <w:rsid w:val="003C5113"/>
    <w:rsid w:val="003C54DE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5078F7"/>
    <w:rsid w:val="005111D8"/>
    <w:rsid w:val="00514744"/>
    <w:rsid w:val="00526EBB"/>
    <w:rsid w:val="0052750E"/>
    <w:rsid w:val="005316C8"/>
    <w:rsid w:val="00537F5A"/>
    <w:rsid w:val="00545D3A"/>
    <w:rsid w:val="005463F9"/>
    <w:rsid w:val="00552191"/>
    <w:rsid w:val="0057587E"/>
    <w:rsid w:val="00582349"/>
    <w:rsid w:val="00582F2E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729F"/>
    <w:rsid w:val="006812B2"/>
    <w:rsid w:val="00681531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551A3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E51D1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2E27"/>
    <w:rsid w:val="00F54B4E"/>
    <w:rsid w:val="00F55C5D"/>
    <w:rsid w:val="00F67D9B"/>
    <w:rsid w:val="00F7356C"/>
    <w:rsid w:val="00F75544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B796D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4:docId w14:val="1545BA87"/>
  <w15:docId w15:val="{76EC3185-684F-4078-BC04-A63CE43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1061D6"/>
  </w:style>
  <w:style w:type="character" w:customStyle="1" w:styleId="small">
    <w:name w:val="small"/>
    <w:basedOn w:val="Domylnaczcionkaakapitu"/>
    <w:rsid w:val="001061D6"/>
  </w:style>
  <w:style w:type="paragraph" w:styleId="NormalnyWeb">
    <w:name w:val="Normal (Web)"/>
    <w:basedOn w:val="Normalny"/>
    <w:uiPriority w:val="99"/>
    <w:unhideWhenUsed/>
    <w:rsid w:val="00F52E27"/>
    <w:pPr>
      <w:spacing w:before="100" w:beforeAutospacing="1" w:after="100" w:afterAutospacing="1"/>
    </w:pPr>
    <w:rPr>
      <w:lang w:eastAsia="pl-PL"/>
    </w:rPr>
  </w:style>
  <w:style w:type="character" w:styleId="Uwydatnienie">
    <w:name w:val="Emphasis"/>
    <w:basedOn w:val="Domylnaczcionkaakapitu"/>
    <w:uiPriority w:val="20"/>
    <w:qFormat/>
    <w:rsid w:val="00F52E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ynagrodzenia.pl/wynagrodzenia-menedzer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ynagrodzenia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assrvdc04\Krakow-Miodowa\wynagrodzenia\ARCHIWUM\RAPORT%20GIE&#321;DOWY\za%202015\C.%20Raport%20gie&#322;dowy%202015\Nowy%20Arkusz%20programu%20Microsoft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6091946839978334"/>
          <c:y val="0.13264869490800171"/>
          <c:w val="0.35976284214473198"/>
          <c:h val="0.69828166536949254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rgbClr val="77C3D8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0B1-4CFA-9264-C44D69CD6E62}"/>
              </c:ext>
            </c:extLst>
          </c:dPt>
          <c:dPt>
            <c:idx val="1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0B1-4CFA-9264-C44D69CD6E62}"/>
              </c:ext>
            </c:extLst>
          </c:dPt>
          <c:dPt>
            <c:idx val="2"/>
            <c:bubble3D val="0"/>
            <c:spPr>
              <a:solidFill>
                <a:srgbClr val="39417B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0B1-4CFA-9264-C44D69CD6E62}"/>
              </c:ext>
            </c:extLst>
          </c:dPt>
          <c:dLbls>
            <c:dLbl>
              <c:idx val="0"/>
              <c:layout>
                <c:manualLayout>
                  <c:x val="0.15344723898208834"/>
                  <c:y val="-0.33813254085590561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noAutofit/>
                  </a:bodyPr>
                  <a:lstStyle/>
                  <a:p>
                    <a:pPr>
                      <a:defRPr sz="11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wynagrodzenie podstawowe</a:t>
                    </a:r>
                    <a:br>
                      <a:rPr lang="en-US"/>
                    </a:br>
                    <a:fld id="{3F9A1646-E726-4632-970A-B7048B4CBFDC}" type="VALUE">
                      <a:rPr lang="en-US" b="1">
                        <a:solidFill>
                          <a:srgbClr val="C00000"/>
                        </a:solidFill>
                      </a:rPr>
                      <a:pPr>
                        <a:defRPr sz="1100" b="0" i="0" u="none" strike="noStrike" kern="1200" baseline="0">
                          <a:solidFill>
                            <a:schemeClr val="dk1">
                              <a:lumMod val="65000"/>
                              <a:lumOff val="3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[WARTOŚĆ]</a:t>
                    </a:fld>
                    <a:endParaRPr lang="en-US"/>
                  </a:p>
                </c:rich>
              </c:tx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oundRect">
                      <a:avLst/>
                    </a:prstGeom>
                  </c15:spPr>
                  <c15:layout>
                    <c:manualLayout>
                      <c:w val="0.23767671402185833"/>
                      <c:h val="0.243154242618593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0B1-4CFA-9264-C44D69CD6E62}"/>
                </c:ext>
              </c:extLst>
            </c:dLbl>
            <c:dLbl>
              <c:idx val="1"/>
              <c:layout>
                <c:manualLayout>
                  <c:x val="-0.16900891726073675"/>
                  <c:y val="0.16972020044021358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noAutofit/>
                  </a:bodyPr>
                  <a:lstStyle/>
                  <a:p>
                    <a:pPr>
                      <a:defRPr sz="11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200"/>
                      <a:t>premie </a:t>
                    </a:r>
                    <a:br>
                      <a:rPr lang="en-US" sz="1200"/>
                    </a:br>
                    <a:r>
                      <a:rPr lang="en-US" sz="1200"/>
                      <a:t>i</a:t>
                    </a:r>
                    <a:r>
                      <a:rPr lang="en-US" sz="1200" b="0" i="0" u="none" strike="noStrike" kern="1200" baseline="0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atin typeface="+mn-lt"/>
                        <a:ea typeface="+mn-ea"/>
                        <a:cs typeface="+mn-cs"/>
                      </a:rPr>
                      <a:t> </a:t>
                    </a:r>
                    <a:r>
                      <a:rPr lang="en-US" sz="1200"/>
                      <a:t>nagrody</a:t>
                    </a:r>
                    <a:br>
                      <a:rPr lang="en-US" sz="1200"/>
                    </a:br>
                    <a:fld id="{7F69DE78-B25D-4AA7-A815-85412FDE8E6B}" type="VALUE">
                      <a:rPr lang="en-US" sz="1200" b="1">
                        <a:solidFill>
                          <a:srgbClr val="C00000"/>
                        </a:solidFill>
                      </a:rPr>
                      <a:pPr>
                        <a:defRPr sz="1100" b="0" i="0" u="none" strike="noStrike" kern="1200" baseline="0">
                          <a:solidFill>
                            <a:schemeClr val="dk1">
                              <a:lumMod val="65000"/>
                              <a:lumOff val="3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[WARTOŚĆ]</a:t>
                    </a:fld>
                    <a:endParaRPr lang="en-US" sz="1200"/>
                  </a:p>
                </c:rich>
              </c:tx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oundRect">
                      <a:avLst/>
                    </a:prstGeom>
                  </c15:spPr>
                  <c15:layout>
                    <c:manualLayout>
                      <c:w val="0.13662435728656944"/>
                      <c:h val="0.2349051388235710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0B1-4CFA-9264-C44D69CD6E62}"/>
                </c:ext>
              </c:extLst>
            </c:dLbl>
            <c:dLbl>
              <c:idx val="2"/>
              <c:layout>
                <c:manualLayout>
                  <c:x val="-0.24755955190143819"/>
                  <c:y val="-0.10273224365958188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noAutofit/>
                  </a:bodyPr>
                  <a:lstStyle/>
                  <a:p>
                    <a:pPr>
                      <a:defRPr sz="11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200"/>
                      <a:t>pozostałe korzyści</a:t>
                    </a:r>
                    <a:br>
                      <a:rPr lang="en-US" sz="1200"/>
                    </a:br>
                    <a:fld id="{85944272-35B2-46AD-8A6B-ABFC5CB0ED48}" type="VALUE">
                      <a:rPr lang="en-US" sz="1200" b="1">
                        <a:solidFill>
                          <a:srgbClr val="C00000"/>
                        </a:solidFill>
                      </a:rPr>
                      <a:pPr>
                        <a:defRPr sz="1100" b="0" i="0" u="none" strike="noStrike" kern="1200" baseline="0">
                          <a:solidFill>
                            <a:schemeClr val="dk1">
                              <a:lumMod val="65000"/>
                              <a:lumOff val="3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[WARTOŚĆ]</a:t>
                    </a:fld>
                    <a:endParaRPr lang="en-US" sz="1200"/>
                  </a:p>
                </c:rich>
              </c:tx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oundRect">
                      <a:avLst/>
                    </a:prstGeom>
                  </c15:spPr>
                  <c15:layout>
                    <c:manualLayout>
                      <c:w val="0.16907623140167416"/>
                      <c:h val="0.2148982687780016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A0B1-4CFA-9264-C44D69CD6E62}"/>
                </c:ext>
              </c:extLst>
            </c:dLbl>
            <c:spPr>
              <a:solidFill>
                <a:schemeClr val="lt1"/>
              </a:solidFill>
              <a:ln>
                <a:solidFill>
                  <a:schemeClr val="dk1">
                    <a:lumMod val="25000"/>
                    <a:lumOff val="75000"/>
                  </a:scheme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rgbClr val="A5A88C"/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oundRect">
                    <a:avLst/>
                  </a:prstGeom>
                </c15:spPr>
              </c:ext>
            </c:extLst>
          </c:dLbls>
          <c:cat>
            <c:strRef>
              <c:f>Arkusz1!$L$4:$L$6</c:f>
              <c:strCache>
                <c:ptCount val="3"/>
                <c:pt idx="0">
                  <c:v>wynagrodzenie podstawowe</c:v>
                </c:pt>
                <c:pt idx="1">
                  <c:v>premie i nagrody</c:v>
                </c:pt>
                <c:pt idx="2">
                  <c:v>pozostałe korzyści</c:v>
                </c:pt>
              </c:strCache>
            </c:strRef>
          </c:cat>
          <c:val>
            <c:numRef>
              <c:f>Arkusz1!$M$4:$M$6</c:f>
              <c:numCache>
                <c:formatCode>0%</c:formatCode>
                <c:ptCount val="3"/>
                <c:pt idx="0">
                  <c:v>0.56999999999999995</c:v>
                </c:pt>
                <c:pt idx="1">
                  <c:v>0.27</c:v>
                </c:pt>
                <c:pt idx="2">
                  <c:v>0.16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0B1-4CFA-9264-C44D69CD6E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6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F2EF8-BE11-41D5-B616-4F6152E97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2332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16294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Konrad Akowacz</cp:lastModifiedBy>
  <cp:revision>2</cp:revision>
  <cp:lastPrinted>2016-03-18T13:44:00Z</cp:lastPrinted>
  <dcterms:created xsi:type="dcterms:W3CDTF">2017-01-23T12:54:00Z</dcterms:created>
  <dcterms:modified xsi:type="dcterms:W3CDTF">2017-01-23T12:54:00Z</dcterms:modified>
</cp:coreProperties>
</file>