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F73" w:rsidRPr="00A217F4" w:rsidRDefault="001F249C"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09</w:t>
      </w:r>
      <w:r w:rsidR="00A9293D">
        <w:rPr>
          <w:rFonts w:asciiTheme="minorHAnsi" w:hAnsiTheme="minorHAnsi"/>
          <w:b w:val="0"/>
          <w:bCs w:val="0"/>
          <w:sz w:val="20"/>
        </w:rPr>
        <w:t>.10</w:t>
      </w:r>
      <w:r w:rsidR="00E21185">
        <w:rPr>
          <w:rFonts w:asciiTheme="minorHAnsi" w:hAnsiTheme="minorHAnsi"/>
          <w:b w:val="0"/>
          <w:bCs w:val="0"/>
          <w:sz w:val="20"/>
        </w:rPr>
        <w:t>.2017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9"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D60CC6" w:rsidRPr="00D60CC6" w:rsidRDefault="006D03DA" w:rsidP="00D60CC6">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D60CC6" w:rsidRDefault="00D60CC6" w:rsidP="00D60CC6">
      <w:pPr>
        <w:pStyle w:val="Tekstpodstawowy2"/>
        <w:tabs>
          <w:tab w:val="left" w:pos="7560"/>
        </w:tabs>
        <w:spacing w:line="276" w:lineRule="auto"/>
        <w:rPr>
          <w:rFonts w:ascii="Calibri" w:eastAsia="Calibri" w:hAnsi="Calibri" w:cs="Calibri"/>
          <w:color w:val="000000"/>
        </w:rPr>
      </w:pPr>
      <w:r w:rsidRPr="00D60CC6">
        <w:rPr>
          <w:rFonts w:ascii="Calibri" w:eastAsia="Calibri" w:hAnsi="Calibri" w:cs="Calibri"/>
          <w:color w:val="000000"/>
          <w:sz w:val="24"/>
          <w:szCs w:val="24"/>
        </w:rPr>
        <w:t xml:space="preserve"> </w:t>
      </w:r>
      <w:r w:rsidRPr="00D60CC6">
        <w:rPr>
          <w:rFonts w:ascii="Calibri" w:eastAsia="Calibri" w:hAnsi="Calibri" w:cs="Calibri"/>
          <w:color w:val="000000"/>
        </w:rPr>
        <w:t>tel. 509 509</w:t>
      </w:r>
      <w:r w:rsidR="001F249C">
        <w:rPr>
          <w:rFonts w:ascii="Calibri" w:eastAsia="Calibri" w:hAnsi="Calibri" w:cs="Calibri"/>
          <w:color w:val="000000"/>
        </w:rPr>
        <w:t> </w:t>
      </w:r>
      <w:r w:rsidRPr="00D60CC6">
        <w:rPr>
          <w:rFonts w:ascii="Calibri" w:eastAsia="Calibri" w:hAnsi="Calibri" w:cs="Calibri"/>
          <w:color w:val="000000"/>
        </w:rPr>
        <w:t>536</w:t>
      </w:r>
    </w:p>
    <w:p w:rsidR="001F249C" w:rsidRPr="001F249C" w:rsidRDefault="001F249C" w:rsidP="00D60CC6">
      <w:pPr>
        <w:pStyle w:val="Tekstpodstawowy2"/>
        <w:tabs>
          <w:tab w:val="left" w:pos="7560"/>
        </w:tabs>
        <w:spacing w:line="276" w:lineRule="auto"/>
        <w:rPr>
          <w:rStyle w:val="Hipercze"/>
          <w:rFonts w:asciiTheme="minorHAnsi" w:hAnsiTheme="minorHAnsi"/>
          <w:b/>
          <w:bCs/>
        </w:rPr>
      </w:pPr>
      <w:r>
        <w:rPr>
          <w:rFonts w:ascii="Calibri" w:eastAsia="Calibri" w:hAnsi="Calibri" w:cs="Calibri"/>
          <w:color w:val="000000"/>
        </w:rPr>
        <w:fldChar w:fldCharType="begin"/>
      </w:r>
      <w:r>
        <w:rPr>
          <w:rFonts w:ascii="Calibri" w:eastAsia="Calibri" w:hAnsi="Calibri" w:cs="Calibri"/>
          <w:color w:val="000000"/>
        </w:rPr>
        <w:instrText xml:space="preserve"> HYPERLINK "hiper" </w:instrText>
      </w:r>
      <w:r>
        <w:rPr>
          <w:rFonts w:ascii="Calibri" w:eastAsia="Calibri" w:hAnsi="Calibri" w:cs="Calibri"/>
          <w:color w:val="000000"/>
        </w:rPr>
      </w:r>
      <w:r>
        <w:rPr>
          <w:rFonts w:ascii="Calibri" w:eastAsia="Calibri" w:hAnsi="Calibri" w:cs="Calibri"/>
          <w:color w:val="000000"/>
        </w:rPr>
        <w:fldChar w:fldCharType="separate"/>
      </w:r>
      <w:r w:rsidRPr="001F249C">
        <w:rPr>
          <w:rStyle w:val="Hipercze"/>
          <w:rFonts w:ascii="Calibri" w:eastAsia="Calibri" w:hAnsi="Calibri" w:cs="Calibri"/>
        </w:rPr>
        <w:t>redakcja@wynagrodzenia.pl</w:t>
      </w:r>
    </w:p>
    <w:p w:rsidR="000D470B" w:rsidRDefault="001F249C" w:rsidP="00C53DE9">
      <w:pPr>
        <w:spacing w:line="276" w:lineRule="auto"/>
        <w:jc w:val="center"/>
        <w:rPr>
          <w:rFonts w:asciiTheme="minorHAnsi" w:eastAsia="Calibri" w:hAnsiTheme="minorHAnsi"/>
          <w:b/>
          <w:color w:val="002060"/>
          <w:sz w:val="40"/>
          <w:szCs w:val="40"/>
        </w:rPr>
      </w:pPr>
      <w:r>
        <w:rPr>
          <w:rFonts w:ascii="Calibri" w:eastAsia="Calibri" w:hAnsi="Calibri" w:cs="Calibri"/>
          <w:color w:val="000000"/>
          <w:sz w:val="20"/>
          <w:szCs w:val="20"/>
          <w:lang w:eastAsia="pl-PL"/>
        </w:rPr>
        <w:fldChar w:fldCharType="end"/>
      </w:r>
    </w:p>
    <w:p w:rsidR="00A9293D" w:rsidRPr="00A9293D" w:rsidRDefault="00A9293D" w:rsidP="00A9293D">
      <w:pPr>
        <w:spacing w:after="200" w:line="276" w:lineRule="auto"/>
        <w:jc w:val="center"/>
        <w:rPr>
          <w:rFonts w:ascii="Calibri" w:hAnsi="Calibri"/>
          <w:b/>
          <w:caps/>
          <w:color w:val="002060"/>
          <w:sz w:val="40"/>
          <w:szCs w:val="40"/>
          <w:lang w:eastAsia="pl-PL"/>
        </w:rPr>
      </w:pPr>
      <w:r w:rsidRPr="00A9293D">
        <w:rPr>
          <w:rFonts w:ascii="Calibri" w:hAnsi="Calibri"/>
          <w:b/>
          <w:caps/>
          <w:color w:val="002060"/>
          <w:sz w:val="40"/>
          <w:szCs w:val="40"/>
          <w:lang w:eastAsia="pl-PL"/>
        </w:rPr>
        <w:t>Wynagrodzenia MĘŻCZYZN</w:t>
      </w:r>
      <w:bookmarkStart w:id="0" w:name="_GoBack"/>
      <w:bookmarkEnd w:id="0"/>
    </w:p>
    <w:p w:rsidR="00A9293D" w:rsidRPr="00A9293D" w:rsidRDefault="00A9293D" w:rsidP="00A9293D">
      <w:pPr>
        <w:spacing w:after="200" w:line="276" w:lineRule="auto"/>
        <w:jc w:val="center"/>
        <w:rPr>
          <w:rFonts w:ascii="Calibri" w:hAnsi="Calibri"/>
          <w:b/>
          <w:caps/>
          <w:color w:val="002060"/>
          <w:sz w:val="40"/>
          <w:szCs w:val="40"/>
          <w:lang w:eastAsia="pl-PL"/>
        </w:rPr>
      </w:pPr>
      <w:r w:rsidRPr="00A9293D">
        <w:rPr>
          <w:rFonts w:ascii="Calibri" w:hAnsi="Calibri"/>
          <w:b/>
          <w:caps/>
          <w:color w:val="002060"/>
          <w:sz w:val="40"/>
          <w:szCs w:val="40"/>
          <w:lang w:eastAsia="pl-PL"/>
        </w:rPr>
        <w:t>świadczących płatne usługi seksualne</w:t>
      </w:r>
    </w:p>
    <w:p w:rsidR="00A9293D" w:rsidRPr="00A9293D" w:rsidRDefault="00A9293D" w:rsidP="00A9293D">
      <w:pPr>
        <w:spacing w:after="200" w:line="276" w:lineRule="auto"/>
        <w:rPr>
          <w:rFonts w:ascii="Open Sans" w:hAnsi="Open Sans" w:cs="Arial"/>
          <w:color w:val="2C2C2C"/>
          <w:sz w:val="23"/>
          <w:szCs w:val="23"/>
          <w:lang w:eastAsia="pl-PL"/>
        </w:rPr>
      </w:pPr>
    </w:p>
    <w:p w:rsidR="00A9293D" w:rsidRPr="00A9293D" w:rsidRDefault="00A9293D" w:rsidP="00A9293D">
      <w:pPr>
        <w:spacing w:line="276" w:lineRule="auto"/>
        <w:jc w:val="both"/>
        <w:rPr>
          <w:rFonts w:ascii="Calibri" w:hAnsi="Calibri" w:cs="Arial"/>
          <w:b/>
          <w:lang w:eastAsia="pl-PL"/>
        </w:rPr>
      </w:pPr>
      <w:r w:rsidRPr="00A9293D">
        <w:rPr>
          <w:rFonts w:ascii="Calibri" w:hAnsi="Calibri" w:cs="Arial"/>
          <w:b/>
          <w:lang w:eastAsia="pl-PL"/>
        </w:rPr>
        <w:t xml:space="preserve">W opracowaniu przedstawiono wynagrodzenia mężczyzn świadczących płatne usługi seksualne. Analizie poddano ogłoszenia z portali towarzyskich dla osób świadczących płatne usługi seksualne, których odbiorcami są kobiety jak i mężczyźni homoseksualni. Ich płace porównano z wynika tego samego badania z 2011 roku oraz zarobkami kobiet wykonujących to samo zajęcie. Jak wynika z szacunków, mężczyźni świadczący odpłatne usługi seksualne mogą zarobić w skali miesiąca nawet do 30 000 PLN. Mediana ogólnopolska godzinowego wynagrodzenia panów </w:t>
      </w:r>
      <w:r w:rsidRPr="00A9293D">
        <w:rPr>
          <w:rFonts w:ascii="Calibri" w:hAnsi="Calibri" w:cs="Arial" w:hint="eastAsia"/>
          <w:b/>
          <w:lang w:eastAsia="pl-PL"/>
        </w:rPr>
        <w:t>świadczących</w:t>
      </w:r>
      <w:r w:rsidRPr="00A9293D">
        <w:rPr>
          <w:rFonts w:ascii="Calibri" w:hAnsi="Calibri" w:cs="Arial"/>
          <w:b/>
          <w:lang w:eastAsia="pl-PL"/>
        </w:rPr>
        <w:t xml:space="preserve"> usługi seksualne to 150 PLN. Z kolei mediana wynagrodzeń za noc wynosi 1</w:t>
      </w:r>
      <w:r w:rsidRPr="00A9293D">
        <w:rPr>
          <w:rFonts w:ascii="Calibri" w:hAnsi="Calibri" w:cs="Arial" w:hint="eastAsia"/>
          <w:b/>
          <w:lang w:eastAsia="pl-PL"/>
        </w:rPr>
        <w:t> </w:t>
      </w:r>
      <w:r w:rsidRPr="00A9293D">
        <w:rPr>
          <w:rFonts w:ascii="Calibri" w:hAnsi="Calibri" w:cs="Arial"/>
          <w:b/>
          <w:lang w:eastAsia="pl-PL"/>
        </w:rPr>
        <w:t>000 PLN.</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Na wstępie warto zaznaczyć, że prostytucja sama w sobie nie jest zabroniona przez polskie prawo. Nielegalne jest sutenerstwo, stręczycielstwo i kuplerstwo. Osoby </w:t>
      </w:r>
      <w:hyperlink r:id="rId10" w:history="1">
        <w:r w:rsidRPr="00A9293D">
          <w:rPr>
            <w:rFonts w:ascii="Calibri" w:hAnsi="Calibri" w:cs="Arial"/>
            <w:lang w:eastAsia="pl-PL"/>
          </w:rPr>
          <w:t>prostytuujące się</w:t>
        </w:r>
      </w:hyperlink>
      <w:r w:rsidRPr="00A9293D">
        <w:rPr>
          <w:rFonts w:ascii="Calibri" w:hAnsi="Calibri" w:cs="Arial"/>
          <w:lang w:eastAsia="pl-PL"/>
        </w:rPr>
        <w:t>, osiągają zatem legalne dochody, nie mogą jednak odprowadzać od nich podatków. Osoby te nie mają także możliwości odprowadzania składek emerytalnych i chorobowych. Efektem tego jest utrudniony dostęp do bezpłatnej opieki medycznej, która w tym zawodzie jest szczególnie ważna.</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Powszechnie uważa się, że świadczenie usług seksualnych jest domeną kobiet. Analiza ogłoszeń prowadzi do takiego samego wniosku – ogłoszeń Pań jest dużo więcej, a ich wynagrodzenia zazwyczaj są wyższe. Może to być spowodowane prawem popytu i podaży - 14% mężczyzn i jedynie 0,5% kobiet deklaruje, że korzysta z płatnych usług seksualnych (Izdebski, 2011). Wśród anonsów znajdują się jednak ogłoszenia od mężczyzn. W artykule przeanalizowano ogłoszenia opublikowane na najpopularniejszych serwisach zamieszczających anonse towarzyskie. Zebrano dane z 223 ogłoszeń mężczyzn z całej Polski. Ze względów </w:t>
      </w:r>
      <w:r w:rsidRPr="00A9293D">
        <w:rPr>
          <w:rFonts w:ascii="Calibri" w:hAnsi="Calibri" w:cs="Arial"/>
          <w:lang w:eastAsia="pl-PL"/>
        </w:rPr>
        <w:lastRenderedPageBreak/>
        <w:t xml:space="preserve">metodologicznych ostatecznej analizie poddano 206 anonsów. W artykule odpowiednikiem zarobków są ceny zamieszczone w ogłoszeniach towarzyskich. Można założyć, że kwoty te stanowią </w:t>
      </w:r>
      <w:r w:rsidRPr="00A9293D">
        <w:rPr>
          <w:rFonts w:ascii="Calibri" w:hAnsi="Calibri" w:cs="Arial"/>
          <w:b/>
          <w:lang w:eastAsia="pl-PL"/>
        </w:rPr>
        <w:t>przybliżone wartości</w:t>
      </w:r>
      <w:r w:rsidRPr="00A9293D">
        <w:rPr>
          <w:rFonts w:ascii="Calibri" w:hAnsi="Calibri" w:cs="Arial"/>
          <w:lang w:eastAsia="pl-PL"/>
        </w:rPr>
        <w:t xml:space="preserve"> jakie są zarabiane przez autorów ogłoszeń. Odwrotnie niż w przypadku kobiet, dużo rzadziej spotykane są sytuacje, w których znaczna część dochodu trafia do pośrednika. Należy jednak pamiętać, że miesięczne realne zyski powinny być pomniejszone o wszystkie koszty niezbędne do wykonywania tego typu usług. Będą to przede wszystkim koszty niezbędne dla zachowania atrakcyjnego wyglądu oraz zdrowia, ale również środki antykoncepcyjne, wynajem lokalu, specjalna odzież erotyczna czy gadżety. </w:t>
      </w: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t>Dane ogólne</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b/>
          <w:lang w:eastAsia="pl-PL"/>
        </w:rPr>
        <w:t xml:space="preserve">Mediana ogólnopolska godzinowego wynagrodzenia panów </w:t>
      </w:r>
      <w:r w:rsidRPr="00A9293D">
        <w:rPr>
          <w:rFonts w:ascii="Calibri" w:hAnsi="Calibri" w:cs="Arial" w:hint="eastAsia"/>
          <w:b/>
          <w:lang w:eastAsia="pl-PL"/>
        </w:rPr>
        <w:t>świadczących</w:t>
      </w:r>
      <w:r w:rsidRPr="00A9293D">
        <w:rPr>
          <w:rFonts w:ascii="Calibri" w:hAnsi="Calibri" w:cs="Arial"/>
          <w:b/>
          <w:lang w:eastAsia="pl-PL"/>
        </w:rPr>
        <w:t xml:space="preserve"> usługi seksualne to 150 PLN. Z kolei za noc mediana wynagrodzeń wynosi 1</w:t>
      </w:r>
      <w:r w:rsidRPr="00A9293D">
        <w:rPr>
          <w:rFonts w:ascii="Calibri" w:hAnsi="Calibri" w:cs="Arial" w:hint="eastAsia"/>
          <w:b/>
          <w:lang w:eastAsia="pl-PL"/>
        </w:rPr>
        <w:t> </w:t>
      </w:r>
      <w:r w:rsidRPr="00A9293D">
        <w:rPr>
          <w:rFonts w:ascii="Calibri" w:hAnsi="Calibri" w:cs="Arial"/>
          <w:b/>
          <w:lang w:eastAsia="pl-PL"/>
        </w:rPr>
        <w:t>000 PLN.</w:t>
      </w:r>
      <w:r w:rsidRPr="00A9293D">
        <w:rPr>
          <w:rFonts w:ascii="Calibri" w:hAnsi="Calibri" w:cs="Arial"/>
          <w:lang w:eastAsia="pl-PL"/>
        </w:rPr>
        <w:t xml:space="preserve"> Wykres 1. prezentuje procentowy rozkład wynagrodzeń za godzinowe usługi seksualne świadczone przez mężczyzn. Najczęściej spotykaną kwotą jest 100 PLN (33% przypadków). Kolejne stawki to 150 PLN (26%) oraz 200 PLN (16%).</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Open Sans" w:hAnsi="Open Sans" w:cs="Arial"/>
          <w:b/>
          <w:color w:val="2C2C2C"/>
          <w:sz w:val="23"/>
          <w:szCs w:val="23"/>
          <w:lang w:eastAsia="pl-PL"/>
        </w:rPr>
      </w:pPr>
      <w:r w:rsidRPr="00A9293D">
        <w:rPr>
          <w:rFonts w:ascii="Calibri" w:hAnsi="Calibri"/>
          <w:b/>
          <w:color w:val="002060"/>
          <w:szCs w:val="22"/>
          <w:lang w:eastAsia="pl-PL"/>
        </w:rPr>
        <w:t>Wykres 1. Rozkład wynagrodzeń za godzinne usługi seksualne (w PLN)</w:t>
      </w:r>
    </w:p>
    <w:p w:rsidR="00A9293D" w:rsidRPr="00A9293D" w:rsidRDefault="00A9293D" w:rsidP="00A9293D">
      <w:pPr>
        <w:tabs>
          <w:tab w:val="left" w:pos="5010"/>
        </w:tabs>
        <w:spacing w:after="200" w:line="276" w:lineRule="auto"/>
        <w:rPr>
          <w:rFonts w:ascii="Open Sans" w:hAnsi="Open Sans" w:cs="Arial"/>
          <w:color w:val="2C2C2C"/>
          <w:sz w:val="23"/>
          <w:szCs w:val="23"/>
          <w:lang w:eastAsia="pl-PL"/>
        </w:rPr>
      </w:pPr>
      <w:r w:rsidRPr="00A9293D">
        <w:rPr>
          <w:rFonts w:ascii="Open Sans" w:hAnsi="Open Sans" w:cs="Arial"/>
          <w:noProof/>
          <w:color w:val="2C2C2C"/>
          <w:sz w:val="23"/>
          <w:szCs w:val="23"/>
          <w:lang w:eastAsia="pl-PL"/>
        </w:rPr>
        <w:drawing>
          <wp:inline distT="0" distB="0" distL="0" distR="0" wp14:anchorId="1483EB0A" wp14:editId="23DCA032">
            <wp:extent cx="5667375" cy="2981325"/>
            <wp:effectExtent l="0" t="0" r="0" b="0"/>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9293D" w:rsidRPr="00A9293D" w:rsidRDefault="00A9293D" w:rsidP="00A9293D">
      <w:pPr>
        <w:tabs>
          <w:tab w:val="left" w:pos="5010"/>
        </w:tabs>
        <w:spacing w:after="200" w:line="276" w:lineRule="auto"/>
        <w:jc w:val="center"/>
        <w:rPr>
          <w:rFonts w:ascii="Open Sans" w:hAnsi="Open Sans" w:cs="Arial"/>
          <w:color w:val="2C2C2C"/>
          <w:sz w:val="23"/>
          <w:szCs w:val="23"/>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Wykres drugi prezentuje </w:t>
      </w:r>
      <w:r w:rsidRPr="00A9293D">
        <w:rPr>
          <w:rFonts w:ascii="Calibri" w:hAnsi="Calibri" w:cs="Arial" w:hint="eastAsia"/>
          <w:lang w:eastAsia="pl-PL"/>
        </w:rPr>
        <w:t>rozkład</w:t>
      </w:r>
      <w:r w:rsidRPr="00A9293D">
        <w:rPr>
          <w:rFonts w:ascii="Calibri" w:hAnsi="Calibri" w:cs="Arial"/>
          <w:lang w:eastAsia="pl-PL"/>
        </w:rPr>
        <w:t xml:space="preserve"> całonocnych zarobków omawianej grupy. Najczęściej spotykaną kwotą jest 1 000 PLN – 28% ogłoszeń opiewa na tę kwotę. Drugą najpopularniejszą kwotą jest 500 PLN (11%).</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lastRenderedPageBreak/>
        <w:t>Wykres 2. Rozkład wynagrodzeń za całonocne usługi seksualne (w PLN)</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noProof/>
          <w:color w:val="565353"/>
          <w:lang w:eastAsia="pl-PL"/>
        </w:rPr>
        <w:drawing>
          <wp:inline distT="0" distB="0" distL="0" distR="0" wp14:anchorId="61FA7587" wp14:editId="607BB44D">
            <wp:extent cx="5702061" cy="2656936"/>
            <wp:effectExtent l="0" t="0" r="0" b="0"/>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9293D" w:rsidRPr="00A9293D" w:rsidRDefault="00A9293D" w:rsidP="00A9293D">
      <w:pPr>
        <w:tabs>
          <w:tab w:val="left" w:pos="5010"/>
        </w:tabs>
        <w:spacing w:after="200"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Od 2011 roku, wynagrodzenia Panów do towarzystwa za całonocne usługi wzrosły o ponad 42%, a godzinowe o 11%. Warto przy tym zaznaczyć, że inflacja w Polsce w okresie styczeń 2011 - styczeń 2017 wyniosła 7,5%. Oznacza to, że realne ceny męskich usług seksualnych wzrosły.</w:t>
      </w:r>
    </w:p>
    <w:p w:rsidR="00A9293D" w:rsidRPr="00A9293D" w:rsidRDefault="00A9293D" w:rsidP="00A9293D">
      <w:pPr>
        <w:spacing w:line="276" w:lineRule="auto"/>
        <w:jc w:val="center"/>
        <w:rPr>
          <w:rFonts w:ascii="Calibri" w:hAnsi="Calibri"/>
          <w:b/>
          <w:color w:val="002060"/>
          <w:szCs w:val="22"/>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Wykres 3. Porównanie cen usług seksualnych w 2011 i 2017 roku (w PLN)</w:t>
      </w: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noProof/>
          <w:color w:val="002060"/>
          <w:sz w:val="26"/>
          <w:szCs w:val="26"/>
          <w:lang w:eastAsia="pl-PL"/>
        </w:rPr>
        <w:drawing>
          <wp:inline distT="0" distB="0" distL="0" distR="0" wp14:anchorId="04C0DC45" wp14:editId="75CF04ED">
            <wp:extent cx="5702061" cy="3079630"/>
            <wp:effectExtent l="0" t="0" r="0" b="0"/>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9293D" w:rsidRPr="00A9293D" w:rsidRDefault="00A9293D" w:rsidP="00A9293D">
      <w:pPr>
        <w:tabs>
          <w:tab w:val="left" w:pos="5010"/>
        </w:tabs>
        <w:spacing w:after="200"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lastRenderedPageBreak/>
        <w:t>Zarobki w miastach</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Schemat 1. prezentuje mediany wynagrodzenia za całonocne usługi seksualne świadczone przez Panów w czterech miastach Polski, gdzie tego typu ogłoszeń jest najwięcej. W tym zawodzie, podobnie jak w innych, najwyższe zarobki odnotowano w Warszawie - mediana za noc wyniosła 1 500 PLN, a za godzinę 200 PLN. Od 2011 roku godzinowe stawki w stolicy wzrosły  o 50 PLN, a całonocne o 500 PLN. Obecnie w całej Polsce mediana wynagrodzeń zrównała się z medianą w 2011 roku w Warszawie.</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Schemat 1. Stawki za całonocne i godzinowe męskie usługi seksualne w miastach (w PLN)</w:t>
      </w:r>
    </w:p>
    <w:p w:rsidR="00A9293D" w:rsidRPr="00A9293D" w:rsidRDefault="00A9293D" w:rsidP="00A9293D">
      <w:pPr>
        <w:spacing w:line="276" w:lineRule="auto"/>
        <w:jc w:val="center"/>
        <w:rPr>
          <w:rFonts w:ascii="Calibri" w:hAnsi="Calibri"/>
          <w:b/>
          <w:color w:val="002060"/>
          <w:szCs w:val="22"/>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noProof/>
          <w:lang w:eastAsia="pl-PL"/>
        </w:rPr>
        <w:drawing>
          <wp:inline distT="0" distB="0" distL="0" distR="0" wp14:anchorId="21FCEB57" wp14:editId="7EDD2A04">
            <wp:extent cx="5760720" cy="4320540"/>
            <wp:effectExtent l="19050" t="0" r="0" b="0"/>
            <wp:docPr id="16" name="Obraz 5" descr="Simplicity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plicity (1).png"/>
                    <pic:cNvPicPr/>
                  </pic:nvPicPr>
                  <pic:blipFill>
                    <a:blip r:embed="rId14" cstate="print"/>
                    <a:stretch>
                      <a:fillRect/>
                    </a:stretch>
                  </pic:blipFill>
                  <pic:spPr>
                    <a:xfrm>
                      <a:off x="0" y="0"/>
                      <a:ext cx="5760720" cy="4320540"/>
                    </a:xfrm>
                    <a:prstGeom prst="rect">
                      <a:avLst/>
                    </a:prstGeom>
                  </pic:spPr>
                </pic:pic>
              </a:graphicData>
            </a:graphic>
          </wp:inline>
        </w:drawing>
      </w:r>
    </w:p>
    <w:p w:rsidR="00A9293D" w:rsidRPr="00A9293D" w:rsidRDefault="00A9293D" w:rsidP="00A9293D">
      <w:pPr>
        <w:tabs>
          <w:tab w:val="left" w:pos="5010"/>
        </w:tabs>
        <w:spacing w:after="200" w:line="276" w:lineRule="auto"/>
        <w:jc w:val="center"/>
        <w:rPr>
          <w:rFonts w:ascii="Open Sans" w:hAnsi="Open Sans" w:cs="Arial"/>
          <w:color w:val="2C2C2C"/>
          <w:sz w:val="23"/>
          <w:szCs w:val="23"/>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t xml:space="preserve">Czynniki wpływające na zarobki </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Aby sprawdzić jakie czynniki wpływają na wynagrodzenia mężczyzn świadczących usługi seksualne przeanalizowaliśmy podane w ogłoszeniach cechy - wzrost i wagę. </w:t>
      </w:r>
      <w:r w:rsidRPr="00A9293D">
        <w:rPr>
          <w:rFonts w:ascii="Calibri" w:hAnsi="Calibri" w:cs="Arial"/>
          <w:lang w:eastAsia="pl-PL"/>
        </w:rPr>
        <w:lastRenderedPageBreak/>
        <w:t>Nie mają one jednak tak dużego znaczenia w przypadku mężczyzn jak kobiet. Mężczyźni o BMI niższym niż 18,5, klasyfikowanym jako niedowaga, zarabiają nieco mniej. Należy przy tym zaznaczyć, że większość ogłoszeń zawiera zdjęcia mężczyzn. Mężczyźni, którzy posiadają cechy powszechnie uważane za atrakcyjne (np. ponadprzeciętnie rozwinięte mięśnie) żądają wyższych stawek.</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 xml:space="preserve">Wykres 4. Stawki za całonocne i godzinowe </w:t>
      </w: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męskie usługi seksualne mężczyzn o różnym BMI*</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noProof/>
          <w:lang w:eastAsia="pl-PL"/>
        </w:rPr>
        <w:drawing>
          <wp:inline distT="0" distB="0" distL="0" distR="0" wp14:anchorId="05A1CB40" wp14:editId="2AFF0A07">
            <wp:extent cx="6057900" cy="3200400"/>
            <wp:effectExtent l="19050" t="0" r="1905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9293D" w:rsidRPr="00A9293D" w:rsidRDefault="00A9293D" w:rsidP="00A9293D">
      <w:pPr>
        <w:tabs>
          <w:tab w:val="left" w:pos="5010"/>
        </w:tabs>
        <w:spacing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*BMI &lt; 18,5 – niedowaga, 18,5-24,99 – waga prawidłowa, &gt;25 - nadwaga</w:t>
      </w:r>
    </w:p>
    <w:p w:rsidR="00A9293D" w:rsidRPr="00A9293D" w:rsidRDefault="00A9293D" w:rsidP="00A9293D">
      <w:pPr>
        <w:tabs>
          <w:tab w:val="left" w:pos="5010"/>
        </w:tabs>
        <w:spacing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Przedział wiekowy mężczyzn z analizowanych ogłoszeń to od 19 do 52 lat. Odwrotnie niż w przypadku kobiet, analizując ogłoszenia nie można znaleźć prostej zależności pomiędzy wiekiem, a wysokością wynagrodzenia w tej grupie. Może to wynikać z większego nacisku na doświadczenie w przypadku mężczyzn. Z drugiej jednak strony cechy młodego wyglądu są równie pożądane. Dominanta wieku mężczyzn otrzymujących wyższe od średniej ogólnopolskiej stawki, zarówno godzinowe jak i całonocne, to </w:t>
      </w:r>
      <w:r w:rsidRPr="00A9293D">
        <w:rPr>
          <w:rFonts w:ascii="Calibri" w:hAnsi="Calibri" w:cs="Arial"/>
          <w:b/>
          <w:lang w:eastAsia="pl-PL"/>
        </w:rPr>
        <w:t>33 lata</w:t>
      </w:r>
      <w:r w:rsidRPr="00A9293D">
        <w:rPr>
          <w:rFonts w:ascii="Calibri" w:hAnsi="Calibri" w:cs="Arial"/>
          <w:lang w:eastAsia="pl-PL"/>
        </w:rPr>
        <w:t xml:space="preserve">. Odmiennie niż w przypadku Pań wykonujących ten zawód, znajomość języków obcych również nie jest czynnikiem wpływającym na wynagrodzenia w tej grupie. Wysokość zarobków może być wyższa, gdy mężczyźni oprócz klasycznych usług seksualnych, oferują pomoc w domu, masaż erotyczny, towarzyszą Paniom podczas różnego rodzaju spotkań </w:t>
      </w:r>
      <w:r w:rsidRPr="00A9293D">
        <w:rPr>
          <w:rFonts w:ascii="Calibri" w:hAnsi="Calibri" w:cs="Arial"/>
          <w:lang w:eastAsia="pl-PL"/>
        </w:rPr>
        <w:lastRenderedPageBreak/>
        <w:t>towarzyskich, ubierają się według preferencji kobiet czy posiadają aktualny komplet badań potwierdzających stan zdrowia.</w:t>
      </w: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t>Zarobki miesięczne</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Miesięczne zarobki mężczyzn świadczących płatne usługi seksualne różnić będą się przede wszystkim ze względu na ilość dni pracy w ciągu miesiąca, liczbę klientek lub klientów przyjętych w ciągu dnia oraz miejsce świadczenia usług. Dla przykładu, mężczyzna pracujący 10 dni miesięcznie i przyjmujący każdego dnia cztery klientki (każda przez jedną godzinę) w Warszawie zarobić może ok. 8 000 PLN, jeśli zaś pracować będzie 15 dni w miesiącu, kwota ta może wzrosnąć do 12 000 PLN. W przypadku świadczenia tego typu usług poza stolicą podczas dziesięciodniowego miesiąca pracy panowie zarobić mogą do 6 000 PLN. Wynagrodzenie mężczyzn przy 20 dniach pracy przyjmujących dziennie po 4 klientki w Warszawie wyniesie do 16 000 PLN. Wynagrodzenie równe obecnej płacy minimalnej otrzymają mężczyźni w Warszawie pracujący po 10 dni w miesiącu przyjmujący jedną klientkę dziennie przez godzinę.</w:t>
      </w: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 xml:space="preserve">Tabela 1. Szacunkowe miesięczne wynagrodzenia </w:t>
      </w: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panów świadczących płatne usługi seksualne w zależności</w:t>
      </w: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 xml:space="preserve"> od liczby przepracowanych dni (w PLN)</w:t>
      </w:r>
    </w:p>
    <w:p w:rsidR="00A9293D" w:rsidRPr="00A9293D" w:rsidRDefault="00A9293D" w:rsidP="00A9293D">
      <w:pPr>
        <w:spacing w:line="276" w:lineRule="auto"/>
        <w:jc w:val="center"/>
        <w:rPr>
          <w:rFonts w:ascii="Calibri" w:hAnsi="Calibri"/>
          <w:b/>
          <w:color w:val="002060"/>
          <w:szCs w:val="22"/>
          <w:lang w:eastAsia="pl-PL"/>
        </w:rPr>
      </w:pPr>
    </w:p>
    <w:tbl>
      <w:tblPr>
        <w:tblW w:w="7556" w:type="dxa"/>
        <w:jc w:val="center"/>
        <w:tblCellMar>
          <w:left w:w="0" w:type="dxa"/>
          <w:right w:w="0" w:type="dxa"/>
        </w:tblCellMar>
        <w:tblLook w:val="04A0" w:firstRow="1" w:lastRow="0" w:firstColumn="1" w:lastColumn="0" w:noHBand="0" w:noVBand="1"/>
      </w:tblPr>
      <w:tblGrid>
        <w:gridCol w:w="2503"/>
        <w:gridCol w:w="2415"/>
        <w:gridCol w:w="420"/>
        <w:gridCol w:w="2218"/>
      </w:tblGrid>
      <w:tr w:rsidR="00A9293D" w:rsidRPr="00A9293D" w:rsidTr="004E7965">
        <w:trPr>
          <w:trHeight w:val="585"/>
          <w:jc w:val="center"/>
        </w:trPr>
        <w:tc>
          <w:tcPr>
            <w:tcW w:w="7556" w:type="dxa"/>
            <w:gridSpan w:val="4"/>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A9293D" w:rsidRPr="00A9293D" w:rsidRDefault="00A9293D" w:rsidP="00A9293D">
            <w:pPr>
              <w:jc w:val="center"/>
              <w:rPr>
                <w:rFonts w:ascii="Calibri" w:hAnsi="Calibri" w:cs="Calibri"/>
                <w:b/>
                <w:bCs/>
                <w:color w:val="565353"/>
                <w:lang w:eastAsia="pl-PL"/>
              </w:rPr>
            </w:pPr>
            <w:r w:rsidRPr="00A9293D">
              <w:rPr>
                <w:rFonts w:ascii="Calibri" w:hAnsi="Calibri" w:cs="Calibri"/>
                <w:b/>
                <w:bCs/>
                <w:color w:val="565353"/>
                <w:lang w:eastAsia="pl-PL"/>
              </w:rPr>
              <w:t>10 dni pracy w miesiącu</w:t>
            </w:r>
          </w:p>
        </w:tc>
      </w:tr>
      <w:tr w:rsidR="00A9293D" w:rsidRPr="00A9293D" w:rsidTr="004E7965">
        <w:trPr>
          <w:trHeight w:val="585"/>
          <w:jc w:val="center"/>
        </w:trPr>
        <w:tc>
          <w:tcPr>
            <w:tcW w:w="2503"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liczba klientów przyjętych w ciągu dnia pracy</w:t>
            </w:r>
          </w:p>
        </w:tc>
        <w:tc>
          <w:tcPr>
            <w:tcW w:w="2835" w:type="dxa"/>
            <w:gridSpan w:val="2"/>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rPr>
                <w:rFonts w:ascii="Calibri" w:hAnsi="Calibri"/>
                <w:color w:val="2C2C2C"/>
                <w:sz w:val="22"/>
                <w:szCs w:val="22"/>
                <w:lang w:eastAsia="pl-PL"/>
              </w:rPr>
            </w:pPr>
            <w:r w:rsidRPr="00A9293D">
              <w:rPr>
                <w:rFonts w:ascii="Calibri" w:hAnsi="Calibri"/>
                <w:color w:val="595959"/>
                <w:lang w:eastAsia="pl-PL"/>
              </w:rPr>
              <w:t xml:space="preserve">             Warszawa</w:t>
            </w:r>
          </w:p>
        </w:tc>
        <w:tc>
          <w:tcPr>
            <w:tcW w:w="2218" w:type="dxa"/>
            <w:tcBorders>
              <w:top w:val="nil"/>
              <w:left w:val="nil"/>
              <w:bottom w:val="single" w:sz="8" w:space="0" w:color="FFDEBF"/>
              <w:right w:val="nil"/>
            </w:tcBorders>
            <w:vAlign w:val="center"/>
          </w:tcPr>
          <w:p w:rsidR="00A9293D" w:rsidRPr="00A9293D" w:rsidRDefault="00A9293D" w:rsidP="00A9293D">
            <w:pPr>
              <w:rPr>
                <w:rFonts w:ascii="Calibri" w:hAnsi="Calibri"/>
                <w:color w:val="2C2C2C"/>
                <w:sz w:val="22"/>
                <w:szCs w:val="22"/>
                <w:lang w:eastAsia="pl-PL"/>
              </w:rPr>
            </w:pPr>
            <w:r w:rsidRPr="00A9293D">
              <w:rPr>
                <w:rFonts w:ascii="Calibri" w:hAnsi="Calibri"/>
                <w:color w:val="595959"/>
                <w:lang w:eastAsia="pl-PL"/>
              </w:rPr>
              <w:t xml:space="preserve">          ogółem </w:t>
            </w:r>
          </w:p>
        </w:tc>
      </w:tr>
      <w:tr w:rsidR="00A9293D" w:rsidRPr="00A9293D" w:rsidTr="004E7965">
        <w:trPr>
          <w:trHeight w:val="585"/>
          <w:jc w:val="center"/>
        </w:trPr>
        <w:tc>
          <w:tcPr>
            <w:tcW w:w="2503"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w:t>
            </w:r>
          </w:p>
        </w:tc>
        <w:tc>
          <w:tcPr>
            <w:tcW w:w="241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2 000</w:t>
            </w:r>
          </w:p>
        </w:tc>
        <w:tc>
          <w:tcPr>
            <w:tcW w:w="2638" w:type="dxa"/>
            <w:gridSpan w:val="2"/>
            <w:tcBorders>
              <w:top w:val="nil"/>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1 500</w:t>
            </w:r>
          </w:p>
        </w:tc>
      </w:tr>
      <w:tr w:rsidR="00A9293D" w:rsidRPr="00A9293D" w:rsidTr="004E7965">
        <w:trPr>
          <w:trHeight w:val="585"/>
          <w:jc w:val="center"/>
        </w:trPr>
        <w:tc>
          <w:tcPr>
            <w:tcW w:w="2503"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w:t>
            </w:r>
          </w:p>
        </w:tc>
        <w:tc>
          <w:tcPr>
            <w:tcW w:w="241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4 000</w:t>
            </w:r>
          </w:p>
        </w:tc>
        <w:tc>
          <w:tcPr>
            <w:tcW w:w="2638" w:type="dxa"/>
            <w:gridSpan w:val="2"/>
            <w:tcBorders>
              <w:top w:val="nil"/>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3 000</w:t>
            </w:r>
          </w:p>
        </w:tc>
      </w:tr>
      <w:tr w:rsidR="00A9293D" w:rsidRPr="00A9293D" w:rsidTr="004E7965">
        <w:trPr>
          <w:trHeight w:val="585"/>
          <w:jc w:val="center"/>
        </w:trPr>
        <w:tc>
          <w:tcPr>
            <w:tcW w:w="2503"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w:t>
            </w:r>
          </w:p>
        </w:tc>
        <w:tc>
          <w:tcPr>
            <w:tcW w:w="241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6 000</w:t>
            </w:r>
          </w:p>
        </w:tc>
        <w:tc>
          <w:tcPr>
            <w:tcW w:w="2638" w:type="dxa"/>
            <w:gridSpan w:val="2"/>
            <w:tcBorders>
              <w:top w:val="nil"/>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4 500</w:t>
            </w:r>
          </w:p>
        </w:tc>
      </w:tr>
      <w:tr w:rsidR="00A9293D" w:rsidRPr="00A9293D" w:rsidTr="004E7965">
        <w:trPr>
          <w:trHeight w:val="585"/>
          <w:jc w:val="center"/>
        </w:trPr>
        <w:tc>
          <w:tcPr>
            <w:tcW w:w="2503"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w:t>
            </w:r>
          </w:p>
        </w:tc>
        <w:tc>
          <w:tcPr>
            <w:tcW w:w="241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8 000</w:t>
            </w:r>
          </w:p>
        </w:tc>
        <w:tc>
          <w:tcPr>
            <w:tcW w:w="2638" w:type="dxa"/>
            <w:gridSpan w:val="2"/>
            <w:tcBorders>
              <w:top w:val="nil"/>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6 000</w:t>
            </w:r>
          </w:p>
        </w:tc>
      </w:tr>
      <w:tr w:rsidR="00A9293D" w:rsidRPr="00A9293D" w:rsidTr="004E7965">
        <w:trPr>
          <w:trHeight w:val="585"/>
          <w:jc w:val="center"/>
        </w:trPr>
        <w:tc>
          <w:tcPr>
            <w:tcW w:w="7556" w:type="dxa"/>
            <w:gridSpan w:val="4"/>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s="Calibri"/>
                <w:b/>
                <w:color w:val="565353"/>
                <w:lang w:eastAsia="pl-PL"/>
              </w:rPr>
            </w:pPr>
            <w:r w:rsidRPr="00A9293D">
              <w:rPr>
                <w:rFonts w:ascii="Calibri" w:hAnsi="Calibri" w:cs="Calibri"/>
                <w:b/>
                <w:bCs/>
                <w:color w:val="565353"/>
                <w:lang w:eastAsia="pl-PL"/>
              </w:rPr>
              <w:t>15 dni pracy w miesiącu</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liczba klientów przyjętych w ciągu dnia pracy</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Warszawa</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 xml:space="preserve">ogółem </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lastRenderedPageBreak/>
              <w:t>1</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 xml:space="preserve">3 000 </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2 250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6 000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4 500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9 000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6 750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12 000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9 000</w:t>
            </w:r>
          </w:p>
        </w:tc>
      </w:tr>
      <w:tr w:rsidR="00A9293D" w:rsidRPr="00A9293D" w:rsidTr="004E7965">
        <w:trPr>
          <w:trHeight w:val="585"/>
          <w:jc w:val="center"/>
        </w:trPr>
        <w:tc>
          <w:tcPr>
            <w:tcW w:w="7556" w:type="dxa"/>
            <w:gridSpan w:val="4"/>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b/>
                <w:color w:val="565353"/>
                <w:lang w:eastAsia="pl-PL"/>
              </w:rPr>
            </w:pPr>
            <w:r w:rsidRPr="00A9293D">
              <w:rPr>
                <w:rFonts w:ascii="Calibri" w:hAnsi="Calibri"/>
                <w:b/>
                <w:color w:val="565353"/>
                <w:lang w:eastAsia="pl-PL"/>
              </w:rPr>
              <w:t>20 dni pracy w miesiącu</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liczba klientów przyjętych w ciągu dnia pracy</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Warszawa</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ogółem</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3 000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8 000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6 000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12 000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9 000</w:t>
            </w:r>
          </w:p>
        </w:tc>
      </w:tr>
      <w:tr w:rsidR="00A9293D" w:rsidRPr="00A9293D" w:rsidTr="004E7965">
        <w:trPr>
          <w:trHeight w:val="585"/>
          <w:jc w:val="center"/>
        </w:trPr>
        <w:tc>
          <w:tcPr>
            <w:tcW w:w="2503"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4</w:t>
            </w:r>
          </w:p>
        </w:tc>
        <w:tc>
          <w:tcPr>
            <w:tcW w:w="241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16 000</w:t>
            </w:r>
          </w:p>
        </w:tc>
        <w:tc>
          <w:tcPr>
            <w:tcW w:w="2638" w:type="dxa"/>
            <w:gridSpan w:val="2"/>
            <w:tcBorders>
              <w:top w:val="single" w:sz="8" w:space="0" w:color="FFDEBF"/>
              <w:left w:val="nil"/>
              <w:bottom w:val="single" w:sz="8" w:space="0" w:color="FFDEBF"/>
              <w:right w:val="nil"/>
            </w:tcBorders>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12 000</w:t>
            </w:r>
          </w:p>
        </w:tc>
      </w:tr>
    </w:tbl>
    <w:p w:rsidR="00A9293D" w:rsidRPr="00A9293D" w:rsidRDefault="00A9293D" w:rsidP="00A9293D">
      <w:pPr>
        <w:tabs>
          <w:tab w:val="left" w:pos="5010"/>
        </w:tabs>
        <w:spacing w:after="200"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Część mężczyzn świadczących płatne usługi seksualne decyduje się również na usługi całonocne. W przypadku pracy przez dziesięć nocy w miesiącu w Warszawie zarobki wynoszą do 15 000 PLN. Przy piętnastu nocach pracy w miesiącu, kwota ta wzrasta do 22 500 PLN, a przy dwudziestu nocach - do 30 000 PLN. </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 xml:space="preserve">Tabela 2. Szacunkowe miesięczne wynagrodzenia </w:t>
      </w: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panów świadczących całonocne płatne usługi seksualne w zależności od liczby przepracowanych dni (w PLN)</w:t>
      </w:r>
    </w:p>
    <w:tbl>
      <w:tblPr>
        <w:tblW w:w="5608" w:type="dxa"/>
        <w:jc w:val="center"/>
        <w:tblCellMar>
          <w:left w:w="0" w:type="dxa"/>
          <w:right w:w="0" w:type="dxa"/>
        </w:tblCellMar>
        <w:tblLook w:val="04A0" w:firstRow="1" w:lastRow="0" w:firstColumn="1" w:lastColumn="0" w:noHBand="0" w:noVBand="1"/>
      </w:tblPr>
      <w:tblGrid>
        <w:gridCol w:w="2026"/>
        <w:gridCol w:w="3582"/>
      </w:tblGrid>
      <w:tr w:rsidR="00A9293D" w:rsidRPr="00A9293D" w:rsidTr="004E7965">
        <w:trPr>
          <w:trHeight w:val="584"/>
          <w:jc w:val="center"/>
        </w:trPr>
        <w:tc>
          <w:tcPr>
            <w:tcW w:w="5608" w:type="dxa"/>
            <w:gridSpan w:val="2"/>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A9293D" w:rsidRPr="00A9293D" w:rsidRDefault="00A9293D" w:rsidP="00A9293D">
            <w:pPr>
              <w:jc w:val="center"/>
              <w:rPr>
                <w:rFonts w:ascii="Calibri" w:hAnsi="Calibri" w:cs="Calibri"/>
                <w:color w:val="565353"/>
                <w:lang w:eastAsia="pl-PL"/>
              </w:rPr>
            </w:pPr>
            <w:r w:rsidRPr="00A9293D">
              <w:rPr>
                <w:rFonts w:ascii="Calibri" w:hAnsi="Calibri" w:cs="Calibri"/>
                <w:b/>
                <w:bCs/>
                <w:color w:val="565353"/>
                <w:lang w:eastAsia="pl-PL"/>
              </w:rPr>
              <w:t>10 nocy pracy w miesiącu</w:t>
            </w:r>
          </w:p>
        </w:tc>
      </w:tr>
      <w:tr w:rsidR="00A9293D" w:rsidRPr="00A9293D" w:rsidTr="004E7965">
        <w:trPr>
          <w:trHeight w:val="584"/>
          <w:jc w:val="center"/>
        </w:trPr>
        <w:tc>
          <w:tcPr>
            <w:tcW w:w="2026"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Warszawa</w:t>
            </w:r>
          </w:p>
        </w:tc>
        <w:tc>
          <w:tcPr>
            <w:tcW w:w="3582"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Polska ogółem</w:t>
            </w:r>
          </w:p>
        </w:tc>
      </w:tr>
      <w:tr w:rsidR="00A9293D" w:rsidRPr="00A9293D" w:rsidTr="004E7965">
        <w:trPr>
          <w:trHeight w:val="584"/>
          <w:jc w:val="center"/>
        </w:trPr>
        <w:tc>
          <w:tcPr>
            <w:tcW w:w="2026"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15 000</w:t>
            </w:r>
          </w:p>
        </w:tc>
        <w:tc>
          <w:tcPr>
            <w:tcW w:w="3582"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10 000</w:t>
            </w:r>
          </w:p>
        </w:tc>
      </w:tr>
      <w:tr w:rsidR="00A9293D" w:rsidRPr="00A9293D" w:rsidTr="004E7965">
        <w:trPr>
          <w:trHeight w:val="584"/>
          <w:jc w:val="center"/>
        </w:trPr>
        <w:tc>
          <w:tcPr>
            <w:tcW w:w="5608" w:type="dxa"/>
            <w:gridSpan w:val="2"/>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s="Calibri"/>
                <w:color w:val="565353"/>
                <w:lang w:eastAsia="pl-PL"/>
              </w:rPr>
            </w:pPr>
            <w:r w:rsidRPr="00A9293D">
              <w:rPr>
                <w:rFonts w:ascii="Calibri" w:hAnsi="Calibri" w:cs="Calibri"/>
                <w:b/>
                <w:bCs/>
                <w:color w:val="565353"/>
                <w:lang w:eastAsia="pl-PL"/>
              </w:rPr>
              <w:t>15 nocy pracy w miesiącu</w:t>
            </w:r>
          </w:p>
        </w:tc>
      </w:tr>
      <w:tr w:rsidR="00A9293D" w:rsidRPr="00A9293D" w:rsidTr="004E7965">
        <w:trPr>
          <w:trHeight w:val="584"/>
          <w:jc w:val="center"/>
        </w:trPr>
        <w:tc>
          <w:tcPr>
            <w:tcW w:w="2026"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2C2C2C"/>
                <w:sz w:val="22"/>
                <w:szCs w:val="22"/>
                <w:lang w:eastAsia="pl-PL"/>
              </w:rPr>
              <w:lastRenderedPageBreak/>
              <w:t>Warszawa</w:t>
            </w:r>
          </w:p>
        </w:tc>
        <w:tc>
          <w:tcPr>
            <w:tcW w:w="3582"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Polska ogółem</w:t>
            </w:r>
          </w:p>
        </w:tc>
      </w:tr>
      <w:tr w:rsidR="00A9293D" w:rsidRPr="00A9293D" w:rsidTr="004E7965">
        <w:trPr>
          <w:trHeight w:val="584"/>
          <w:jc w:val="center"/>
        </w:trPr>
        <w:tc>
          <w:tcPr>
            <w:tcW w:w="2026" w:type="dxa"/>
            <w:tcBorders>
              <w:top w:val="nil"/>
              <w:left w:val="single" w:sz="8" w:space="0" w:color="FFFFF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22 500</w:t>
            </w:r>
          </w:p>
        </w:tc>
        <w:tc>
          <w:tcPr>
            <w:tcW w:w="3582"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A9293D" w:rsidRPr="00A9293D" w:rsidRDefault="00A9293D" w:rsidP="00A9293D">
            <w:pPr>
              <w:jc w:val="center"/>
              <w:rPr>
                <w:rFonts w:ascii="Calibri" w:hAnsi="Calibri"/>
                <w:color w:val="2C2C2C"/>
                <w:sz w:val="22"/>
                <w:szCs w:val="22"/>
                <w:lang w:eastAsia="pl-PL"/>
              </w:rPr>
            </w:pPr>
            <w:r w:rsidRPr="00A9293D">
              <w:rPr>
                <w:rFonts w:ascii="Calibri" w:hAnsi="Calibri"/>
                <w:color w:val="595959"/>
                <w:lang w:eastAsia="pl-PL"/>
              </w:rPr>
              <w:t>15 000</w:t>
            </w:r>
          </w:p>
        </w:tc>
      </w:tr>
      <w:tr w:rsidR="00A9293D" w:rsidRPr="00A9293D" w:rsidTr="004E7965">
        <w:trPr>
          <w:trHeight w:val="584"/>
          <w:jc w:val="center"/>
        </w:trPr>
        <w:tc>
          <w:tcPr>
            <w:tcW w:w="5608" w:type="dxa"/>
            <w:gridSpan w:val="2"/>
            <w:tcBorders>
              <w:top w:val="single" w:sz="8" w:space="0" w:color="FFDEBF"/>
              <w:left w:val="single" w:sz="8" w:space="0" w:color="FFFFF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s="Calibri"/>
                <w:color w:val="565353"/>
                <w:lang w:eastAsia="pl-PL"/>
              </w:rPr>
            </w:pPr>
            <w:r w:rsidRPr="00A9293D">
              <w:rPr>
                <w:rFonts w:ascii="Calibri" w:hAnsi="Calibri" w:cs="Calibri"/>
                <w:b/>
                <w:bCs/>
                <w:color w:val="565353"/>
                <w:lang w:eastAsia="pl-PL"/>
              </w:rPr>
              <w:t>20 nocy pracy w miesiącu</w:t>
            </w:r>
          </w:p>
        </w:tc>
      </w:tr>
      <w:tr w:rsidR="00A9293D" w:rsidRPr="00A9293D" w:rsidTr="004E7965">
        <w:trPr>
          <w:trHeight w:val="584"/>
          <w:jc w:val="center"/>
        </w:trPr>
        <w:tc>
          <w:tcPr>
            <w:tcW w:w="202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Warszawa</w:t>
            </w:r>
          </w:p>
        </w:tc>
        <w:tc>
          <w:tcPr>
            <w:tcW w:w="3582"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Polska ogółem</w:t>
            </w:r>
          </w:p>
        </w:tc>
      </w:tr>
      <w:tr w:rsidR="00A9293D" w:rsidRPr="00A9293D" w:rsidTr="004E7965">
        <w:trPr>
          <w:trHeight w:val="584"/>
          <w:jc w:val="center"/>
        </w:trPr>
        <w:tc>
          <w:tcPr>
            <w:tcW w:w="2026"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30 000</w:t>
            </w:r>
          </w:p>
        </w:tc>
        <w:tc>
          <w:tcPr>
            <w:tcW w:w="3582"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A9293D" w:rsidRPr="00A9293D" w:rsidRDefault="00A9293D" w:rsidP="00A9293D">
            <w:pPr>
              <w:jc w:val="center"/>
              <w:rPr>
                <w:rFonts w:ascii="Calibri" w:hAnsi="Calibri"/>
                <w:color w:val="595959"/>
                <w:lang w:eastAsia="pl-PL"/>
              </w:rPr>
            </w:pPr>
            <w:r w:rsidRPr="00A9293D">
              <w:rPr>
                <w:rFonts w:ascii="Calibri" w:hAnsi="Calibri"/>
                <w:color w:val="595959"/>
                <w:lang w:eastAsia="pl-PL"/>
              </w:rPr>
              <w:t>20 000</w:t>
            </w:r>
          </w:p>
        </w:tc>
      </w:tr>
    </w:tbl>
    <w:p w:rsidR="00A9293D" w:rsidRPr="00A9293D" w:rsidRDefault="00A9293D" w:rsidP="00A9293D">
      <w:pPr>
        <w:tabs>
          <w:tab w:val="left" w:pos="5010"/>
        </w:tabs>
        <w:spacing w:after="200" w:line="276" w:lineRule="auto"/>
        <w:jc w:val="center"/>
        <w:rPr>
          <w:rFonts w:ascii="Open Sans" w:hAnsi="Open Sans" w:cs="Arial"/>
          <w:color w:val="2C2C2C"/>
          <w:sz w:val="23"/>
          <w:szCs w:val="23"/>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t>Zarobki mężczyzn świadczących usługi seksualne dla osób tej samej płci</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Homoseksualna oferta usług erotycznych mężczyzn jest istotnym elementem składowym całego sektora męskich usług seksualnych. Mediana godzinowych zarobków mężczyzn świadczących usługi seksualne dla osób tej samej płci jest dwukrotnie wyższa niż dla mężczyzn świadczących usługi dla kobiet – wynosi 300 PLN. Z kolei mediana wynagrodzeń za noc to 1</w:t>
      </w:r>
      <w:r w:rsidRPr="00A9293D">
        <w:rPr>
          <w:rFonts w:ascii="Calibri" w:hAnsi="Calibri" w:cs="Arial" w:hint="eastAsia"/>
          <w:lang w:eastAsia="pl-PL"/>
        </w:rPr>
        <w:t> </w:t>
      </w:r>
      <w:r w:rsidRPr="00A9293D">
        <w:rPr>
          <w:rFonts w:ascii="Calibri" w:hAnsi="Calibri" w:cs="Arial"/>
          <w:lang w:eastAsia="pl-PL"/>
        </w:rPr>
        <w:t>500 PLN. Może to wynikać z dużo niższej podaży tego rodzaju usług seksualnych.</w:t>
      </w:r>
    </w:p>
    <w:p w:rsidR="00A9293D" w:rsidRPr="00A9293D" w:rsidRDefault="00A9293D" w:rsidP="00A9293D">
      <w:pPr>
        <w:shd w:val="clear" w:color="auto" w:fill="FFFFFF"/>
        <w:spacing w:line="276" w:lineRule="auto"/>
        <w:jc w:val="both"/>
        <w:rPr>
          <w:rFonts w:ascii="Calibri" w:hAnsi="Calibri"/>
          <w:b/>
          <w:color w:val="002060"/>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p>
    <w:p w:rsidR="00A9293D" w:rsidRPr="00A9293D" w:rsidRDefault="00A9293D" w:rsidP="00A9293D">
      <w:pPr>
        <w:shd w:val="clear" w:color="auto" w:fill="FFFFFF"/>
        <w:spacing w:line="276" w:lineRule="auto"/>
        <w:jc w:val="both"/>
        <w:rPr>
          <w:rFonts w:ascii="Calibri" w:hAnsi="Calibri"/>
          <w:b/>
          <w:color w:val="002060"/>
          <w:sz w:val="26"/>
          <w:szCs w:val="26"/>
          <w:lang w:eastAsia="pl-PL"/>
        </w:rPr>
      </w:pPr>
      <w:r w:rsidRPr="00A9293D">
        <w:rPr>
          <w:rFonts w:ascii="Calibri" w:hAnsi="Calibri"/>
          <w:b/>
          <w:color w:val="002060"/>
          <w:sz w:val="26"/>
          <w:szCs w:val="26"/>
          <w:lang w:eastAsia="pl-PL"/>
        </w:rPr>
        <w:t>Luka płacowa na niekorzyść mężczyzn</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Odmiennie niż w większości profesji, w tym zawodzie luka płacowa działa na niekorzyść mężczyzn w przypadku całonocnych usług seksualnych. Mediana wynagrodzeń ogólnopolskich za całą noc w przypadku kobiet wynosi 1 500 PLN, co oznacza że w tym przypadku kobiety zarabiają o 50% więcej od mężczyzn. Z kolei mediana godzinowej stawki w całej Polsce jest taka sama. </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center"/>
        <w:rPr>
          <w:rFonts w:ascii="Calibri" w:hAnsi="Calibri"/>
          <w:b/>
          <w:color w:val="002060"/>
          <w:szCs w:val="22"/>
          <w:lang w:eastAsia="pl-PL"/>
        </w:rPr>
      </w:pPr>
      <w:r w:rsidRPr="00A9293D">
        <w:rPr>
          <w:rFonts w:ascii="Calibri" w:hAnsi="Calibri"/>
          <w:b/>
          <w:color w:val="002060"/>
          <w:szCs w:val="22"/>
          <w:lang w:eastAsia="pl-PL"/>
        </w:rPr>
        <w:t>Schemat 2. Wynagrodzenia za usługi seksualne mężczyzn oraz kobiet w 2017 roku.</w:t>
      </w:r>
    </w:p>
    <w:p w:rsidR="00A9293D" w:rsidRPr="00A9293D" w:rsidRDefault="00A9293D" w:rsidP="00A9293D">
      <w:pPr>
        <w:shd w:val="clear" w:color="auto" w:fill="FFFFFF"/>
        <w:spacing w:line="276" w:lineRule="auto"/>
        <w:jc w:val="center"/>
        <w:rPr>
          <w:rFonts w:ascii="Calibri" w:hAnsi="Calibri"/>
          <w:b/>
          <w:color w:val="002060"/>
          <w:sz w:val="26"/>
          <w:szCs w:val="26"/>
          <w:lang w:eastAsia="pl-PL"/>
        </w:rPr>
      </w:pPr>
      <w:r w:rsidRPr="00A9293D">
        <w:rPr>
          <w:rFonts w:ascii="Calibri" w:hAnsi="Calibri"/>
          <w:b/>
          <w:noProof/>
          <w:color w:val="002060"/>
          <w:sz w:val="26"/>
          <w:szCs w:val="26"/>
          <w:lang w:eastAsia="pl-PL"/>
        </w:rPr>
        <w:lastRenderedPageBreak/>
        <w:drawing>
          <wp:inline distT="0" distB="0" distL="0" distR="0" wp14:anchorId="153075BA" wp14:editId="7F212979">
            <wp:extent cx="4168739" cy="4541867"/>
            <wp:effectExtent l="19050" t="0" r="3211" b="0"/>
            <wp:docPr id="18" name="Obraz 4" descr="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png"/>
                    <pic:cNvPicPr/>
                  </pic:nvPicPr>
                  <pic:blipFill>
                    <a:blip r:embed="rId16" cstate="print"/>
                    <a:stretch>
                      <a:fillRect/>
                    </a:stretch>
                  </pic:blipFill>
                  <pic:spPr>
                    <a:xfrm>
                      <a:off x="0" y="0"/>
                      <a:ext cx="4171249" cy="4544602"/>
                    </a:xfrm>
                    <a:prstGeom prst="rect">
                      <a:avLst/>
                    </a:prstGeom>
                  </pic:spPr>
                </pic:pic>
              </a:graphicData>
            </a:graphic>
          </wp:inline>
        </w:drawing>
      </w:r>
    </w:p>
    <w:p w:rsidR="00A9293D" w:rsidRPr="00A9293D" w:rsidRDefault="00A9293D" w:rsidP="00A9293D">
      <w:pPr>
        <w:tabs>
          <w:tab w:val="left" w:pos="5010"/>
        </w:tabs>
        <w:spacing w:after="200" w:line="276" w:lineRule="auto"/>
        <w:jc w:val="center"/>
        <w:rPr>
          <w:rFonts w:ascii="Calibri" w:hAnsi="Calibri"/>
          <w:i/>
          <w:color w:val="565350"/>
          <w:sz w:val="20"/>
          <w:szCs w:val="20"/>
          <w:lang w:eastAsia="pl-PL"/>
        </w:rPr>
      </w:pPr>
      <w:r w:rsidRPr="00A9293D">
        <w:rPr>
          <w:rFonts w:ascii="Calibri" w:hAnsi="Calibri"/>
          <w:i/>
          <w:color w:val="565350"/>
          <w:sz w:val="20"/>
          <w:szCs w:val="20"/>
          <w:lang w:eastAsia="pl-PL"/>
        </w:rPr>
        <w:t xml:space="preserve">Opracowanie Sedlak </w:t>
      </w:r>
      <w:r w:rsidRPr="00A9293D">
        <w:rPr>
          <w:rFonts w:ascii="Calibri" w:hAnsi="Calibri"/>
          <w:i/>
          <w:color w:val="565350"/>
          <w:sz w:val="16"/>
          <w:szCs w:val="16"/>
          <w:lang w:eastAsia="pl-PL"/>
        </w:rPr>
        <w:t>&amp;</w:t>
      </w:r>
      <w:r w:rsidRPr="00A9293D">
        <w:rPr>
          <w:rFonts w:ascii="Calibri" w:hAnsi="Calibri"/>
          <w:i/>
          <w:color w:val="565350"/>
          <w:sz w:val="20"/>
          <w:szCs w:val="20"/>
          <w:lang w:eastAsia="pl-PL"/>
        </w:rPr>
        <w:t xml:space="preserve"> Sedlak </w:t>
      </w:r>
    </w:p>
    <w:p w:rsidR="00A9293D" w:rsidRPr="00A9293D" w:rsidRDefault="00A9293D" w:rsidP="00A9293D">
      <w:pPr>
        <w:spacing w:line="276" w:lineRule="auto"/>
        <w:rPr>
          <w:rFonts w:ascii="Calibri" w:hAnsi="Calibri"/>
          <w:b/>
          <w:color w:val="002060"/>
          <w:lang w:eastAsia="pl-PL"/>
        </w:rPr>
      </w:pPr>
    </w:p>
    <w:p w:rsidR="00A9293D" w:rsidRPr="00A9293D" w:rsidRDefault="00A9293D" w:rsidP="00A9293D">
      <w:pPr>
        <w:spacing w:line="276" w:lineRule="auto"/>
        <w:rPr>
          <w:rFonts w:ascii="Calibri" w:hAnsi="Calibri"/>
          <w:b/>
          <w:color w:val="002060"/>
          <w:lang w:eastAsia="pl-PL"/>
        </w:rPr>
      </w:pPr>
    </w:p>
    <w:p w:rsidR="00A9293D" w:rsidRPr="00A9293D" w:rsidRDefault="00A9293D" w:rsidP="00A9293D">
      <w:pPr>
        <w:spacing w:line="276" w:lineRule="auto"/>
        <w:rPr>
          <w:rFonts w:ascii="Calibri" w:hAnsi="Calibri"/>
          <w:b/>
          <w:color w:val="002060"/>
          <w:lang w:eastAsia="pl-PL"/>
        </w:rPr>
      </w:pPr>
      <w:r w:rsidRPr="00A9293D">
        <w:rPr>
          <w:rFonts w:ascii="Calibri" w:hAnsi="Calibri"/>
          <w:b/>
          <w:color w:val="002060"/>
          <w:lang w:eastAsia="pl-PL"/>
        </w:rPr>
        <w:t>Podsumowanie</w:t>
      </w: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Podobnie jak w każdej innej profesji, również w przypadku płatnych usług seksualnych najwięcej zarabia się w Warszawie. Różnica ta jest widoczna zarówno w przypadku mężczyzn jak i kobiet świadczących tego rodzaju usługi. </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Analizując ogłoszenia mężczyzn nie można znaleźć korelacji pomiędzy wzrostem, wagą czy wiekiem, a wynagrodzeniami w tej profesji. Należy mieć jednak na uwadze, że administratorzy witryn z ogłoszeniami płatnych usług seksualnych żądają, aby użytkownicy zamieszczali swoje zdjęcia. Mężczyźni o cechach powszechnie uważanych za atrakcyjne żądają wyższego wynagrodzenia za swoje usługi.</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lastRenderedPageBreak/>
        <w:t xml:space="preserve">Mężczyźni, którzy są odbiorcami usług seksualnych płacą więcej. W przypadku klientów, którzy są mężczyznami homoseksualnymi lub heteroseksualnymi stawki wynagrodzeń za tego typu usługi są wyższe. To oznacza, że kobiety oraz mężczyźni świadczący usługi dla mężczyzn zarabiają więcej. </w:t>
      </w:r>
    </w:p>
    <w:p w:rsidR="00A9293D" w:rsidRPr="00A9293D" w:rsidRDefault="00A9293D" w:rsidP="00A9293D">
      <w:pPr>
        <w:spacing w:line="276" w:lineRule="auto"/>
        <w:jc w:val="both"/>
        <w:rPr>
          <w:rFonts w:ascii="Calibri" w:hAnsi="Calibri" w:cs="Arial"/>
          <w:lang w:eastAsia="pl-PL"/>
        </w:rPr>
      </w:pPr>
    </w:p>
    <w:p w:rsidR="00A9293D" w:rsidRPr="00A9293D" w:rsidRDefault="00A9293D" w:rsidP="00A9293D">
      <w:pPr>
        <w:spacing w:line="276" w:lineRule="auto"/>
        <w:jc w:val="both"/>
        <w:rPr>
          <w:rFonts w:ascii="Calibri" w:hAnsi="Calibri" w:cs="Arial"/>
          <w:lang w:eastAsia="pl-PL"/>
        </w:rPr>
      </w:pPr>
      <w:r w:rsidRPr="00A9293D">
        <w:rPr>
          <w:rFonts w:ascii="Calibri" w:hAnsi="Calibri" w:cs="Arial"/>
          <w:lang w:eastAsia="pl-PL"/>
        </w:rPr>
        <w:t xml:space="preserve">W artykule przeanalizowano jedynie ogłoszenia zamieszczane w </w:t>
      </w:r>
      <w:r w:rsidRPr="00A9293D">
        <w:rPr>
          <w:rFonts w:ascii="Calibri" w:hAnsi="Calibri" w:cs="Arial" w:hint="eastAsia"/>
          <w:lang w:eastAsia="pl-PL"/>
        </w:rPr>
        <w:t>Internecie</w:t>
      </w:r>
      <w:r w:rsidRPr="00A9293D">
        <w:rPr>
          <w:rFonts w:ascii="Calibri" w:hAnsi="Calibri" w:cs="Arial"/>
          <w:lang w:eastAsia="pl-PL"/>
        </w:rPr>
        <w:t xml:space="preserve">. Należy jednak mieć na uwadze to, że część mężczyzn pozyskuje klientów w inny sposób. Niektórzy z nich, szczególnie osoby homoseksualne, poszukują klientów w miejscach spotkań znanych tylko grupie odbiorców. Dochody tych osób mogą znacznie odbiegać od stawek podawanych w </w:t>
      </w:r>
      <w:r w:rsidRPr="00A9293D">
        <w:rPr>
          <w:rFonts w:ascii="Calibri" w:hAnsi="Calibri" w:cs="Arial" w:hint="eastAsia"/>
          <w:lang w:eastAsia="pl-PL"/>
        </w:rPr>
        <w:t>Internecie</w:t>
      </w:r>
      <w:r w:rsidRPr="00A9293D">
        <w:rPr>
          <w:rFonts w:ascii="Calibri" w:hAnsi="Calibri" w:cs="Arial"/>
          <w:lang w:eastAsia="pl-PL"/>
        </w:rPr>
        <w:t>. Dodatkowym elementem, na który warto zwrócić uwagę analizując zarobki w tej grupie jest fakt, że część z nich, niezależnie od czasu trwania usługi żąda za nią tej samej kwoty. Należy również zaznaczyć, że mężczyźni niekiedy różnicują stawki w zależności od atrakcyjności i wieku klientki.</w:t>
      </w:r>
    </w:p>
    <w:p w:rsidR="00A9293D" w:rsidRPr="00A9293D" w:rsidRDefault="00A9293D" w:rsidP="00A9293D">
      <w:pPr>
        <w:shd w:val="clear" w:color="auto" w:fill="FFFFFF"/>
        <w:spacing w:line="276" w:lineRule="auto"/>
        <w:jc w:val="both"/>
        <w:rPr>
          <w:rFonts w:ascii="Calibri" w:hAnsi="Calibri"/>
          <w:b/>
          <w:i/>
          <w:szCs w:val="26"/>
          <w:lang w:eastAsia="pl-PL"/>
        </w:rPr>
      </w:pPr>
    </w:p>
    <w:p w:rsidR="00A9293D" w:rsidRPr="00A9293D" w:rsidRDefault="00A9293D" w:rsidP="00A9293D">
      <w:pPr>
        <w:shd w:val="clear" w:color="auto" w:fill="FFFFFF"/>
        <w:spacing w:line="276" w:lineRule="auto"/>
        <w:jc w:val="both"/>
        <w:rPr>
          <w:rFonts w:ascii="Calibri" w:hAnsi="Calibri"/>
          <w:b/>
          <w:i/>
          <w:sz w:val="26"/>
          <w:szCs w:val="26"/>
          <w:lang w:eastAsia="pl-PL"/>
        </w:rPr>
      </w:pPr>
    </w:p>
    <w:p w:rsidR="00A9293D" w:rsidRPr="00A9293D" w:rsidRDefault="00A9293D" w:rsidP="00A9293D">
      <w:pPr>
        <w:shd w:val="clear" w:color="auto" w:fill="FFFFFF"/>
        <w:spacing w:line="276" w:lineRule="auto"/>
        <w:jc w:val="both"/>
        <w:rPr>
          <w:rFonts w:ascii="Calibri" w:hAnsi="Calibri"/>
          <w:b/>
          <w:i/>
          <w:sz w:val="26"/>
          <w:szCs w:val="26"/>
          <w:lang w:eastAsia="pl-PL"/>
        </w:rPr>
      </w:pPr>
    </w:p>
    <w:p w:rsidR="00A9293D" w:rsidRPr="00A9293D" w:rsidRDefault="00A9293D" w:rsidP="00A9293D">
      <w:pPr>
        <w:shd w:val="clear" w:color="auto" w:fill="FFFFFF"/>
        <w:spacing w:line="276" w:lineRule="auto"/>
        <w:jc w:val="both"/>
        <w:rPr>
          <w:rFonts w:ascii="Calibri" w:hAnsi="Calibri"/>
          <w:b/>
          <w:i/>
          <w:sz w:val="26"/>
          <w:szCs w:val="26"/>
          <w:lang w:eastAsia="pl-PL"/>
        </w:rPr>
      </w:pPr>
    </w:p>
    <w:p w:rsidR="00A9293D" w:rsidRPr="00A9293D" w:rsidRDefault="00A9293D" w:rsidP="00A9293D">
      <w:pPr>
        <w:tabs>
          <w:tab w:val="left" w:pos="5010"/>
        </w:tabs>
        <w:spacing w:after="200" w:line="276" w:lineRule="auto"/>
        <w:rPr>
          <w:rFonts w:ascii="Calibri" w:hAnsi="Calibri" w:cs="Arial"/>
          <w:sz w:val="22"/>
          <w:szCs w:val="22"/>
          <w:lang w:eastAsia="pl-PL"/>
        </w:rPr>
      </w:pPr>
    </w:p>
    <w:p w:rsidR="00E52BE5" w:rsidRPr="00E52BE5" w:rsidRDefault="00E52BE5" w:rsidP="00E52BE5">
      <w:pPr>
        <w:spacing w:line="276" w:lineRule="auto"/>
        <w:jc w:val="both"/>
        <w:rPr>
          <w:rFonts w:ascii="Calibri" w:hAnsi="Calibri"/>
          <w:szCs w:val="22"/>
          <w:lang w:eastAsia="pl-PL"/>
        </w:rPr>
      </w:pPr>
    </w:p>
    <w:p w:rsidR="00A31385" w:rsidRDefault="00A31385" w:rsidP="0058086E">
      <w:pPr>
        <w:pStyle w:val="tekstsedlak"/>
      </w:pPr>
    </w:p>
    <w:p w:rsidR="00A9293D" w:rsidRDefault="00A9293D" w:rsidP="0058086E">
      <w:pPr>
        <w:pStyle w:val="tekstsedlak"/>
      </w:pPr>
    </w:p>
    <w:p w:rsidR="00A9293D" w:rsidRDefault="00A9293D" w:rsidP="0058086E">
      <w:pPr>
        <w:pStyle w:val="tekstsedlak"/>
      </w:pPr>
    </w:p>
    <w:p w:rsidR="00A9293D" w:rsidRDefault="00A9293D" w:rsidP="0058086E">
      <w:pPr>
        <w:pStyle w:val="tekstsedlak"/>
      </w:pPr>
    </w:p>
    <w:p w:rsidR="00A9293D" w:rsidRDefault="00A9293D" w:rsidP="0058086E">
      <w:pPr>
        <w:pStyle w:val="tekstsedlak"/>
      </w:pPr>
    </w:p>
    <w:p w:rsidR="00A9293D" w:rsidRDefault="00A9293D" w:rsidP="0058086E">
      <w:pPr>
        <w:pStyle w:val="tekstsedlak"/>
      </w:pPr>
    </w:p>
    <w:p w:rsidR="00A9293D" w:rsidRDefault="00A9293D" w:rsidP="0058086E">
      <w:pPr>
        <w:pStyle w:val="tekstsedlak"/>
      </w:pPr>
    </w:p>
    <w:p w:rsidR="00A9293D" w:rsidRDefault="00A9293D" w:rsidP="0058086E">
      <w:pPr>
        <w:pStyle w:val="tekstsedlak"/>
      </w:pPr>
    </w:p>
    <w:p w:rsidR="00A9293D" w:rsidRPr="0058086E" w:rsidRDefault="00A9293D" w:rsidP="0058086E">
      <w:pPr>
        <w:pStyle w:val="tekstsedlak"/>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9"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20"/>
      <w:footerReference w:type="default" r:id="rId21"/>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Open Sans">
    <w:altName w:val="Times New Roman"/>
    <w:charset w:val="00"/>
    <w:family w:val="auto"/>
    <w:pitch w:val="default"/>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A3D72A7"/>
    <w:multiLevelType w:val="hybridMultilevel"/>
    <w:tmpl w:val="88A83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7"/>
  </w:num>
  <w:num w:numId="4">
    <w:abstractNumId w:val="13"/>
  </w:num>
  <w:num w:numId="5">
    <w:abstractNumId w:val="10"/>
  </w:num>
  <w:num w:numId="6">
    <w:abstractNumId w:val="23"/>
  </w:num>
  <w:num w:numId="7">
    <w:abstractNumId w:val="20"/>
  </w:num>
  <w:num w:numId="8">
    <w:abstractNumId w:val="6"/>
  </w:num>
  <w:num w:numId="9">
    <w:abstractNumId w:val="0"/>
  </w:num>
  <w:num w:numId="10">
    <w:abstractNumId w:val="4"/>
  </w:num>
  <w:num w:numId="11">
    <w:abstractNumId w:val="17"/>
  </w:num>
  <w:num w:numId="12">
    <w:abstractNumId w:val="12"/>
  </w:num>
  <w:num w:numId="13">
    <w:abstractNumId w:val="1"/>
  </w:num>
  <w:num w:numId="14">
    <w:abstractNumId w:val="2"/>
  </w:num>
  <w:num w:numId="15">
    <w:abstractNumId w:val="18"/>
  </w:num>
  <w:num w:numId="16">
    <w:abstractNumId w:val="11"/>
  </w:num>
  <w:num w:numId="17">
    <w:abstractNumId w:val="22"/>
  </w:num>
  <w:num w:numId="18">
    <w:abstractNumId w:val="15"/>
  </w:num>
  <w:num w:numId="19">
    <w:abstractNumId w:val="19"/>
  </w:num>
  <w:num w:numId="20">
    <w:abstractNumId w:val="8"/>
  </w:num>
  <w:num w:numId="21">
    <w:abstractNumId w:val="5"/>
  </w:num>
  <w:num w:numId="22">
    <w:abstractNumId w:val="9"/>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59745"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249C"/>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9293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0CC6"/>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185"/>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strokecolor="#54628d">
      <v:stroke color="#54628d" weight="1.5pt"/>
      <o:colormru v:ext="edit" colors="#e2aa1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theme" Target="theme/theme1.xml"/><Relationship Id="rId10" Type="http://schemas.openxmlformats.org/officeDocument/2006/relationships/hyperlink" Target="https://www.google.pl/search?q=osoby+prostytuuj%C4%85ce+si%C4%99&amp;spell=1&amp;sa=X&amp;ved=0ahUKEwjX1umNr_zVAhVrJJoKHdMOBisQvwUIIygA" TargetMode="External"/><Relationship Id="rId19" Type="http://schemas.openxmlformats.org/officeDocument/2006/relationships/hyperlink" Target="http://wynagrodzenia.pl/t/ogolnopolskie-badanie-wynagrodzen-n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Seria 1</c:v>
                </c:pt>
              </c:strCache>
            </c:strRef>
          </c:tx>
          <c:spPr>
            <a:solidFill>
              <a:srgbClr val="39417B"/>
            </a:solidFill>
            <a:ln>
              <a:solidFill>
                <a:srgbClr val="77C3D8"/>
              </a:solidFill>
            </a:ln>
          </c:spPr>
          <c:invertIfNegative val="0"/>
          <c:dLbls>
            <c:spPr>
              <a:noFill/>
              <a:ln>
                <a:noFill/>
              </a:ln>
              <a:effectLst/>
            </c:spPr>
            <c:txPr>
              <a:bodyPr/>
              <a:lstStyle/>
              <a:p>
                <a:pPr>
                  <a:defRPr baseline="0">
                    <a:solidFill>
                      <a:srgbClr val="565350"/>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Arkusz1!$A$2:$A$11</c:f>
              <c:numCache>
                <c:formatCode>General</c:formatCode>
                <c:ptCount val="10"/>
                <c:pt idx="0">
                  <c:v>50</c:v>
                </c:pt>
                <c:pt idx="1">
                  <c:v>70</c:v>
                </c:pt>
                <c:pt idx="2">
                  <c:v>90</c:v>
                </c:pt>
                <c:pt idx="3">
                  <c:v>100</c:v>
                </c:pt>
                <c:pt idx="4">
                  <c:v>120</c:v>
                </c:pt>
                <c:pt idx="5">
                  <c:v>150</c:v>
                </c:pt>
                <c:pt idx="6">
                  <c:v>200</c:v>
                </c:pt>
                <c:pt idx="7">
                  <c:v>250</c:v>
                </c:pt>
                <c:pt idx="8">
                  <c:v>300</c:v>
                </c:pt>
                <c:pt idx="9">
                  <c:v>400</c:v>
                </c:pt>
              </c:numCache>
            </c:numRef>
          </c:cat>
          <c:val>
            <c:numRef>
              <c:f>Arkusz1!$B$2:$B$11</c:f>
              <c:numCache>
                <c:formatCode>0%</c:formatCode>
                <c:ptCount val="10"/>
                <c:pt idx="0">
                  <c:v>8.0000000000000224E-2</c:v>
                </c:pt>
                <c:pt idx="1">
                  <c:v>2.0000000000000052E-2</c:v>
                </c:pt>
                <c:pt idx="2">
                  <c:v>1.0000000000000031E-2</c:v>
                </c:pt>
                <c:pt idx="3">
                  <c:v>0.33000000000000113</c:v>
                </c:pt>
                <c:pt idx="4">
                  <c:v>4.0000000000000112E-2</c:v>
                </c:pt>
                <c:pt idx="5">
                  <c:v>0.26</c:v>
                </c:pt>
                <c:pt idx="6">
                  <c:v>0.16000000000000034</c:v>
                </c:pt>
                <c:pt idx="7">
                  <c:v>3.0000000000000082E-2</c:v>
                </c:pt>
                <c:pt idx="8">
                  <c:v>2.0000000000000052E-2</c:v>
                </c:pt>
                <c:pt idx="9">
                  <c:v>2.0000000000000052E-2</c:v>
                </c:pt>
              </c:numCache>
            </c:numRef>
          </c:val>
          <c:extLst xmlns:c16r2="http://schemas.microsoft.com/office/drawing/2015/06/chart">
            <c:ext xmlns:c16="http://schemas.microsoft.com/office/drawing/2014/chart" uri="{C3380CC4-5D6E-409C-BE32-E72D297353CC}">
              <c16:uniqueId val="{00000000-C688-477A-BDB8-E5E56070F945}"/>
            </c:ext>
          </c:extLst>
        </c:ser>
        <c:dLbls>
          <c:showLegendKey val="0"/>
          <c:showVal val="0"/>
          <c:showCatName val="0"/>
          <c:showSerName val="0"/>
          <c:showPercent val="0"/>
          <c:showBubbleSize val="0"/>
        </c:dLbls>
        <c:gapWidth val="150"/>
        <c:axId val="174379776"/>
        <c:axId val="174381312"/>
      </c:barChart>
      <c:catAx>
        <c:axId val="174379776"/>
        <c:scaling>
          <c:orientation val="minMax"/>
        </c:scaling>
        <c:delete val="0"/>
        <c:axPos val="b"/>
        <c:numFmt formatCode="General" sourceLinked="1"/>
        <c:majorTickMark val="out"/>
        <c:minorTickMark val="none"/>
        <c:tickLblPos val="nextTo"/>
        <c:txPr>
          <a:bodyPr/>
          <a:lstStyle/>
          <a:p>
            <a:pPr>
              <a:defRPr baseline="0">
                <a:solidFill>
                  <a:srgbClr val="565353"/>
                </a:solidFill>
              </a:defRPr>
            </a:pPr>
            <a:endParaRPr lang="pl-PL"/>
          </a:p>
        </c:txPr>
        <c:crossAx val="174381312"/>
        <c:crosses val="autoZero"/>
        <c:auto val="1"/>
        <c:lblAlgn val="ctr"/>
        <c:lblOffset val="100"/>
        <c:noMultiLvlLbl val="0"/>
      </c:catAx>
      <c:valAx>
        <c:axId val="174381312"/>
        <c:scaling>
          <c:orientation val="minMax"/>
        </c:scaling>
        <c:delete val="0"/>
        <c:axPos val="l"/>
        <c:majorGridlines>
          <c:spPr>
            <a:ln>
              <a:solidFill>
                <a:schemeClr val="bg1"/>
              </a:solidFill>
            </a:ln>
          </c:spPr>
        </c:majorGridlines>
        <c:numFmt formatCode="0%" sourceLinked="1"/>
        <c:majorTickMark val="out"/>
        <c:minorTickMark val="none"/>
        <c:tickLblPos val="nextTo"/>
        <c:txPr>
          <a:bodyPr/>
          <a:lstStyle/>
          <a:p>
            <a:pPr>
              <a:defRPr baseline="0">
                <a:solidFill>
                  <a:srgbClr val="565353"/>
                </a:solidFill>
              </a:defRPr>
            </a:pPr>
            <a:endParaRPr lang="pl-PL"/>
          </a:p>
        </c:txPr>
        <c:crossAx val="174379776"/>
        <c:crosses val="autoZero"/>
        <c:crossBetween val="between"/>
      </c:valAx>
    </c:plotArea>
    <c:plotVisOnly val="1"/>
    <c:dispBlanksAs val="gap"/>
    <c:showDLblsOverMax val="0"/>
  </c:chart>
  <c:spPr>
    <a:ln>
      <a:noFill/>
    </a:ln>
  </c:spPr>
  <c:txPr>
    <a:bodyPr/>
    <a:lstStyle/>
    <a:p>
      <a:pPr>
        <a:defRPr sz="1200" baseline="0">
          <a:latin typeface="Calibri" pitchFamily="34" charset="0"/>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Seria 1</c:v>
                </c:pt>
              </c:strCache>
            </c:strRef>
          </c:tx>
          <c:spPr>
            <a:solidFill>
              <a:srgbClr val="77C3D8"/>
            </a:solidFill>
          </c:spPr>
          <c:invertIfNegative val="0"/>
          <c:dLbls>
            <c:spPr>
              <a:noFill/>
              <a:ln>
                <a:noFill/>
              </a:ln>
              <a:effectLst/>
            </c:spPr>
            <c:txPr>
              <a:bodyPr/>
              <a:lstStyle/>
              <a:p>
                <a:pPr>
                  <a:defRPr baseline="0">
                    <a:solidFill>
                      <a:srgbClr val="565350"/>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Arkusz1!$A$2:$A$26</c:f>
              <c:numCache>
                <c:formatCode>General</c:formatCode>
                <c:ptCount val="25"/>
                <c:pt idx="0">
                  <c:v>100</c:v>
                </c:pt>
                <c:pt idx="1">
                  <c:v>150</c:v>
                </c:pt>
                <c:pt idx="2">
                  <c:v>200</c:v>
                </c:pt>
                <c:pt idx="3">
                  <c:v>250</c:v>
                </c:pt>
                <c:pt idx="4">
                  <c:v>300</c:v>
                </c:pt>
                <c:pt idx="5">
                  <c:v>350</c:v>
                </c:pt>
                <c:pt idx="6">
                  <c:v>380</c:v>
                </c:pt>
                <c:pt idx="7">
                  <c:v>400</c:v>
                </c:pt>
                <c:pt idx="8">
                  <c:v>500</c:v>
                </c:pt>
                <c:pt idx="9">
                  <c:v>550</c:v>
                </c:pt>
                <c:pt idx="10">
                  <c:v>600</c:v>
                </c:pt>
                <c:pt idx="11">
                  <c:v>700</c:v>
                </c:pt>
                <c:pt idx="12">
                  <c:v>800</c:v>
                </c:pt>
                <c:pt idx="13">
                  <c:v>850</c:v>
                </c:pt>
                <c:pt idx="14">
                  <c:v>900</c:v>
                </c:pt>
                <c:pt idx="15">
                  <c:v>1000</c:v>
                </c:pt>
                <c:pt idx="16">
                  <c:v>1100</c:v>
                </c:pt>
                <c:pt idx="17">
                  <c:v>1200</c:v>
                </c:pt>
                <c:pt idx="18">
                  <c:v>1500</c:v>
                </c:pt>
                <c:pt idx="19">
                  <c:v>1900</c:v>
                </c:pt>
                <c:pt idx="20">
                  <c:v>2000</c:v>
                </c:pt>
                <c:pt idx="21">
                  <c:v>2500</c:v>
                </c:pt>
                <c:pt idx="22">
                  <c:v>3000</c:v>
                </c:pt>
                <c:pt idx="23">
                  <c:v>4000</c:v>
                </c:pt>
                <c:pt idx="24">
                  <c:v>5000</c:v>
                </c:pt>
              </c:numCache>
            </c:numRef>
          </c:cat>
          <c:val>
            <c:numRef>
              <c:f>Arkusz1!$B$2:$B$26</c:f>
              <c:numCache>
                <c:formatCode>0%</c:formatCode>
                <c:ptCount val="25"/>
                <c:pt idx="0">
                  <c:v>2.0000000000000011E-2</c:v>
                </c:pt>
                <c:pt idx="1">
                  <c:v>1.0000000000000005E-2</c:v>
                </c:pt>
                <c:pt idx="2">
                  <c:v>2.0000000000000011E-2</c:v>
                </c:pt>
                <c:pt idx="3">
                  <c:v>1.0000000000000005E-2</c:v>
                </c:pt>
                <c:pt idx="4">
                  <c:v>3.0000000000000002E-2</c:v>
                </c:pt>
                <c:pt idx="5">
                  <c:v>1.0000000000000005E-2</c:v>
                </c:pt>
                <c:pt idx="6">
                  <c:v>1.0000000000000005E-2</c:v>
                </c:pt>
                <c:pt idx="7">
                  <c:v>4.0000000000000022E-2</c:v>
                </c:pt>
                <c:pt idx="8">
                  <c:v>0.11</c:v>
                </c:pt>
                <c:pt idx="9">
                  <c:v>1.0000000000000005E-2</c:v>
                </c:pt>
                <c:pt idx="10">
                  <c:v>6.0000000000000032E-2</c:v>
                </c:pt>
                <c:pt idx="11">
                  <c:v>4.0000000000000022E-2</c:v>
                </c:pt>
                <c:pt idx="12">
                  <c:v>6.0000000000000032E-2</c:v>
                </c:pt>
                <c:pt idx="13">
                  <c:v>1.0000000000000005E-2</c:v>
                </c:pt>
                <c:pt idx="14">
                  <c:v>1.0000000000000005E-2</c:v>
                </c:pt>
                <c:pt idx="15">
                  <c:v>0.28000000000000008</c:v>
                </c:pt>
                <c:pt idx="16">
                  <c:v>1.0000000000000005E-2</c:v>
                </c:pt>
                <c:pt idx="17">
                  <c:v>4.0000000000000022E-2</c:v>
                </c:pt>
                <c:pt idx="18">
                  <c:v>9.0000000000000024E-2</c:v>
                </c:pt>
                <c:pt idx="19">
                  <c:v>1.0000000000000005E-2</c:v>
                </c:pt>
                <c:pt idx="20">
                  <c:v>0.05</c:v>
                </c:pt>
                <c:pt idx="21">
                  <c:v>1.0000000000000005E-2</c:v>
                </c:pt>
                <c:pt idx="22">
                  <c:v>3.0000000000000002E-2</c:v>
                </c:pt>
                <c:pt idx="23">
                  <c:v>1.0000000000000005E-2</c:v>
                </c:pt>
                <c:pt idx="24">
                  <c:v>1.0000000000000005E-2</c:v>
                </c:pt>
              </c:numCache>
            </c:numRef>
          </c:val>
          <c:extLst xmlns:c16r2="http://schemas.microsoft.com/office/drawing/2015/06/chart">
            <c:ext xmlns:c16="http://schemas.microsoft.com/office/drawing/2014/chart" uri="{C3380CC4-5D6E-409C-BE32-E72D297353CC}">
              <c16:uniqueId val="{00000000-4F57-4A81-A27A-4600A2B7A5CD}"/>
            </c:ext>
          </c:extLst>
        </c:ser>
        <c:dLbls>
          <c:showLegendKey val="0"/>
          <c:showVal val="0"/>
          <c:showCatName val="0"/>
          <c:showSerName val="0"/>
          <c:showPercent val="0"/>
          <c:showBubbleSize val="0"/>
        </c:dLbls>
        <c:gapWidth val="150"/>
        <c:axId val="175088768"/>
        <c:axId val="175090304"/>
      </c:barChart>
      <c:catAx>
        <c:axId val="175088768"/>
        <c:scaling>
          <c:orientation val="minMax"/>
        </c:scaling>
        <c:delete val="0"/>
        <c:axPos val="b"/>
        <c:numFmt formatCode="#,##0" sourceLinked="0"/>
        <c:majorTickMark val="out"/>
        <c:minorTickMark val="none"/>
        <c:tickLblPos val="nextTo"/>
        <c:spPr>
          <a:noFill/>
        </c:spPr>
        <c:txPr>
          <a:bodyPr/>
          <a:lstStyle/>
          <a:p>
            <a:pPr>
              <a:defRPr>
                <a:solidFill>
                  <a:srgbClr val="565353"/>
                </a:solidFill>
              </a:defRPr>
            </a:pPr>
            <a:endParaRPr lang="pl-PL"/>
          </a:p>
        </c:txPr>
        <c:crossAx val="175090304"/>
        <c:crosses val="autoZero"/>
        <c:auto val="1"/>
        <c:lblAlgn val="ctr"/>
        <c:lblOffset val="100"/>
        <c:noMultiLvlLbl val="0"/>
      </c:catAx>
      <c:valAx>
        <c:axId val="175090304"/>
        <c:scaling>
          <c:orientation val="minMax"/>
        </c:scaling>
        <c:delete val="0"/>
        <c:axPos val="l"/>
        <c:majorGridlines>
          <c:spPr>
            <a:ln>
              <a:solidFill>
                <a:schemeClr val="bg1"/>
              </a:solidFill>
            </a:ln>
          </c:spPr>
        </c:majorGridlines>
        <c:numFmt formatCode="0%" sourceLinked="1"/>
        <c:majorTickMark val="out"/>
        <c:minorTickMark val="none"/>
        <c:tickLblPos val="nextTo"/>
        <c:txPr>
          <a:bodyPr/>
          <a:lstStyle/>
          <a:p>
            <a:pPr>
              <a:defRPr>
                <a:solidFill>
                  <a:srgbClr val="565353"/>
                </a:solidFill>
              </a:defRPr>
            </a:pPr>
            <a:endParaRPr lang="pl-PL"/>
          </a:p>
        </c:txPr>
        <c:crossAx val="175088768"/>
        <c:crosses val="autoZero"/>
        <c:crossBetween val="between"/>
      </c:valAx>
    </c:plotArea>
    <c:plotVisOnly val="1"/>
    <c:dispBlanksAs val="gap"/>
    <c:showDLblsOverMax val="0"/>
  </c:chart>
  <c:spPr>
    <a:ln>
      <a:noFill/>
    </a:ln>
  </c:spPr>
  <c:txPr>
    <a:bodyPr/>
    <a:lstStyle/>
    <a:p>
      <a:pPr>
        <a:defRPr sz="1200">
          <a:latin typeface="Calibri" panose="020F0502020204030204" pitchFamily="34" charset="0"/>
          <a:cs typeface="Calibri" panose="020F0502020204030204" pitchFamily="34" charset="0"/>
        </a:defRPr>
      </a:pPr>
      <a:endParaRPr lang="pl-PL"/>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Arkusz1!$B$1</c:f>
              <c:strCache>
                <c:ptCount val="1"/>
                <c:pt idx="0">
                  <c:v>godzina</c:v>
                </c:pt>
              </c:strCache>
            </c:strRef>
          </c:tx>
          <c:spPr>
            <a:solidFill>
              <a:srgbClr val="39417B"/>
            </a:solidFill>
          </c:spPr>
          <c:invertIfNegative val="0"/>
          <c:dLbls>
            <c:spPr>
              <a:noFill/>
              <a:ln>
                <a:noFill/>
              </a:ln>
              <a:effectLst/>
            </c:spPr>
            <c:txPr>
              <a:bodyPr/>
              <a:lstStyle/>
              <a:p>
                <a:pPr>
                  <a:defRPr sz="12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Arkusz1!$A$2:$A$3</c:f>
              <c:numCache>
                <c:formatCode>General</c:formatCode>
                <c:ptCount val="2"/>
                <c:pt idx="0">
                  <c:v>2011</c:v>
                </c:pt>
                <c:pt idx="1">
                  <c:v>2017</c:v>
                </c:pt>
              </c:numCache>
            </c:numRef>
          </c:cat>
          <c:val>
            <c:numRef>
              <c:f>Arkusz1!$B$2:$B$3</c:f>
              <c:numCache>
                <c:formatCode>General</c:formatCode>
                <c:ptCount val="2"/>
                <c:pt idx="0">
                  <c:v>135</c:v>
                </c:pt>
                <c:pt idx="1">
                  <c:v>150</c:v>
                </c:pt>
              </c:numCache>
            </c:numRef>
          </c:val>
          <c:extLst xmlns:c16r2="http://schemas.microsoft.com/office/drawing/2015/06/chart">
            <c:ext xmlns:c16="http://schemas.microsoft.com/office/drawing/2014/chart" uri="{C3380CC4-5D6E-409C-BE32-E72D297353CC}">
              <c16:uniqueId val="{00000000-C6EB-4755-878C-367FCAC756BF}"/>
            </c:ext>
          </c:extLst>
        </c:ser>
        <c:ser>
          <c:idx val="1"/>
          <c:order val="1"/>
          <c:tx>
            <c:strRef>
              <c:f>Arkusz1!$C$1</c:f>
              <c:strCache>
                <c:ptCount val="1"/>
                <c:pt idx="0">
                  <c:v>noc</c:v>
                </c:pt>
              </c:strCache>
            </c:strRef>
          </c:tx>
          <c:spPr>
            <a:solidFill>
              <a:srgbClr val="77C3D8"/>
            </a:solidFill>
          </c:spPr>
          <c:invertIfNegative val="0"/>
          <c:dLbls>
            <c:numFmt formatCode="#,###" sourceLinked="0"/>
            <c:spPr>
              <a:noFill/>
              <a:ln>
                <a:noFill/>
              </a:ln>
              <a:effectLst/>
            </c:spPr>
            <c:txPr>
              <a:bodyPr/>
              <a:lstStyle/>
              <a:p>
                <a:pPr>
                  <a:defRPr sz="12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Arkusz1!$A$2:$A$3</c:f>
              <c:numCache>
                <c:formatCode>General</c:formatCode>
                <c:ptCount val="2"/>
                <c:pt idx="0">
                  <c:v>2011</c:v>
                </c:pt>
                <c:pt idx="1">
                  <c:v>2017</c:v>
                </c:pt>
              </c:numCache>
            </c:numRef>
          </c:cat>
          <c:val>
            <c:numRef>
              <c:f>Arkusz1!$C$2:$C$3</c:f>
              <c:numCache>
                <c:formatCode>General</c:formatCode>
                <c:ptCount val="2"/>
                <c:pt idx="0">
                  <c:v>700</c:v>
                </c:pt>
                <c:pt idx="1">
                  <c:v>1000</c:v>
                </c:pt>
              </c:numCache>
            </c:numRef>
          </c:val>
          <c:extLst xmlns:c16r2="http://schemas.microsoft.com/office/drawing/2015/06/chart">
            <c:ext xmlns:c16="http://schemas.microsoft.com/office/drawing/2014/chart" uri="{C3380CC4-5D6E-409C-BE32-E72D297353CC}">
              <c16:uniqueId val="{00000001-C6EB-4755-878C-367FCAC756BF}"/>
            </c:ext>
          </c:extLst>
        </c:ser>
        <c:dLbls>
          <c:showLegendKey val="0"/>
          <c:showVal val="0"/>
          <c:showCatName val="0"/>
          <c:showSerName val="0"/>
          <c:showPercent val="0"/>
          <c:showBubbleSize val="0"/>
        </c:dLbls>
        <c:gapWidth val="150"/>
        <c:axId val="175195264"/>
        <c:axId val="175196800"/>
      </c:barChart>
      <c:catAx>
        <c:axId val="175195264"/>
        <c:scaling>
          <c:orientation val="minMax"/>
        </c:scaling>
        <c:delete val="0"/>
        <c:axPos val="b"/>
        <c:numFmt formatCode="General" sourceLinked="1"/>
        <c:majorTickMark val="out"/>
        <c:minorTickMark val="none"/>
        <c:tickLblPos val="nextTo"/>
        <c:txPr>
          <a:bodyPr/>
          <a:lstStyle/>
          <a:p>
            <a:pPr>
              <a:defRPr sz="1200" baseline="0">
                <a:solidFill>
                  <a:srgbClr val="565353"/>
                </a:solidFill>
                <a:latin typeface="Calibri" pitchFamily="34" charset="0"/>
              </a:defRPr>
            </a:pPr>
            <a:endParaRPr lang="pl-PL"/>
          </a:p>
        </c:txPr>
        <c:crossAx val="175196800"/>
        <c:crosses val="autoZero"/>
        <c:auto val="1"/>
        <c:lblAlgn val="ctr"/>
        <c:lblOffset val="100"/>
        <c:noMultiLvlLbl val="0"/>
      </c:catAx>
      <c:valAx>
        <c:axId val="175196800"/>
        <c:scaling>
          <c:orientation val="minMax"/>
        </c:scaling>
        <c:delete val="0"/>
        <c:axPos val="l"/>
        <c:majorGridlines>
          <c:spPr>
            <a:ln>
              <a:solidFill>
                <a:schemeClr val="bg1"/>
              </a:solidFill>
            </a:ln>
          </c:spPr>
        </c:majorGridlines>
        <c:numFmt formatCode="#,###" sourceLinked="0"/>
        <c:majorTickMark val="out"/>
        <c:minorTickMark val="none"/>
        <c:tickLblPos val="nextTo"/>
        <c:txPr>
          <a:bodyPr/>
          <a:lstStyle/>
          <a:p>
            <a:pPr>
              <a:defRPr sz="1200" baseline="0">
                <a:solidFill>
                  <a:srgbClr val="565353"/>
                </a:solidFill>
              </a:defRPr>
            </a:pPr>
            <a:endParaRPr lang="pl-PL"/>
          </a:p>
        </c:txPr>
        <c:crossAx val="175195264"/>
        <c:crosses val="autoZero"/>
        <c:crossBetween val="between"/>
      </c:valAx>
    </c:plotArea>
    <c:legend>
      <c:legendPos val="r"/>
      <c:overlay val="0"/>
      <c:txPr>
        <a:bodyPr/>
        <a:lstStyle/>
        <a:p>
          <a:pPr>
            <a:defRPr sz="1200" baseline="0">
              <a:latin typeface="Calibri" pitchFamily="34" charset="0"/>
            </a:defRPr>
          </a:pPr>
          <a:endParaRPr lang="pl-PL"/>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Arkusz1!$B$1</c:f>
              <c:strCache>
                <c:ptCount val="1"/>
                <c:pt idx="0">
                  <c:v>zarobki za godzinę</c:v>
                </c:pt>
              </c:strCache>
            </c:strRef>
          </c:tx>
          <c:spPr>
            <a:solidFill>
              <a:srgbClr val="39417B"/>
            </a:solidFill>
          </c:spPr>
          <c:invertIfNegative val="0"/>
          <c:dLbls>
            <c:spPr>
              <a:noFill/>
              <a:ln>
                <a:noFill/>
              </a:ln>
              <a:effectLst/>
            </c:spPr>
            <c:txPr>
              <a:bodyPr/>
              <a:lstStyle/>
              <a:p>
                <a:pPr>
                  <a:defRPr sz="1200" baseline="0">
                    <a:solidFill>
                      <a:srgbClr val="565350"/>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Arkusz1!$A$2:$A$4</c:f>
              <c:strCache>
                <c:ptCount val="3"/>
                <c:pt idx="0">
                  <c:v>&lt;18,5</c:v>
                </c:pt>
                <c:pt idx="1">
                  <c:v>18,5-24,99</c:v>
                </c:pt>
                <c:pt idx="2">
                  <c:v>&gt;25</c:v>
                </c:pt>
              </c:strCache>
            </c:strRef>
          </c:cat>
          <c:val>
            <c:numRef>
              <c:f>Arkusz1!$B$2:$B$4</c:f>
              <c:numCache>
                <c:formatCode>General</c:formatCode>
                <c:ptCount val="3"/>
                <c:pt idx="0">
                  <c:v>120</c:v>
                </c:pt>
                <c:pt idx="1">
                  <c:v>150</c:v>
                </c:pt>
                <c:pt idx="2">
                  <c:v>140</c:v>
                </c:pt>
              </c:numCache>
            </c:numRef>
          </c:val>
          <c:extLst xmlns:c16r2="http://schemas.microsoft.com/office/drawing/2015/06/chart">
            <c:ext xmlns:c16="http://schemas.microsoft.com/office/drawing/2014/chart" uri="{C3380CC4-5D6E-409C-BE32-E72D297353CC}">
              <c16:uniqueId val="{00000000-B72A-4E22-A7CD-EAA58F431F1E}"/>
            </c:ext>
          </c:extLst>
        </c:ser>
        <c:ser>
          <c:idx val="1"/>
          <c:order val="1"/>
          <c:tx>
            <c:strRef>
              <c:f>Arkusz1!$C$1</c:f>
              <c:strCache>
                <c:ptCount val="1"/>
                <c:pt idx="0">
                  <c:v>zarobki za noc</c:v>
                </c:pt>
              </c:strCache>
            </c:strRef>
          </c:tx>
          <c:spPr>
            <a:solidFill>
              <a:srgbClr val="77C3D8"/>
            </a:solidFill>
          </c:spPr>
          <c:invertIfNegative val="0"/>
          <c:dLbls>
            <c:numFmt formatCode="#,###" sourceLinked="0"/>
            <c:spPr>
              <a:noFill/>
              <a:ln>
                <a:noFill/>
              </a:ln>
              <a:effectLst/>
            </c:spPr>
            <c:txPr>
              <a:bodyPr/>
              <a:lstStyle/>
              <a:p>
                <a:pPr>
                  <a:defRPr sz="1200" baseline="0">
                    <a:solidFill>
                      <a:srgbClr val="565350"/>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Arkusz1!$A$2:$A$4</c:f>
              <c:strCache>
                <c:ptCount val="3"/>
                <c:pt idx="0">
                  <c:v>&lt;18,5</c:v>
                </c:pt>
                <c:pt idx="1">
                  <c:v>18,5-24,99</c:v>
                </c:pt>
                <c:pt idx="2">
                  <c:v>&gt;25</c:v>
                </c:pt>
              </c:strCache>
            </c:strRef>
          </c:cat>
          <c:val>
            <c:numRef>
              <c:f>Arkusz1!$C$2:$C$4</c:f>
              <c:numCache>
                <c:formatCode>General</c:formatCode>
                <c:ptCount val="3"/>
                <c:pt idx="0">
                  <c:v>900</c:v>
                </c:pt>
                <c:pt idx="1">
                  <c:v>1000</c:v>
                </c:pt>
                <c:pt idx="2">
                  <c:v>1000</c:v>
                </c:pt>
              </c:numCache>
            </c:numRef>
          </c:val>
          <c:extLst xmlns:c16r2="http://schemas.microsoft.com/office/drawing/2015/06/chart">
            <c:ext xmlns:c16="http://schemas.microsoft.com/office/drawing/2014/chart" uri="{C3380CC4-5D6E-409C-BE32-E72D297353CC}">
              <c16:uniqueId val="{00000001-B72A-4E22-A7CD-EAA58F431F1E}"/>
            </c:ext>
          </c:extLst>
        </c:ser>
        <c:dLbls>
          <c:showLegendKey val="0"/>
          <c:showVal val="0"/>
          <c:showCatName val="0"/>
          <c:showSerName val="0"/>
          <c:showPercent val="0"/>
          <c:showBubbleSize val="0"/>
        </c:dLbls>
        <c:gapWidth val="150"/>
        <c:axId val="178423296"/>
        <c:axId val="178424832"/>
      </c:barChart>
      <c:catAx>
        <c:axId val="178423296"/>
        <c:scaling>
          <c:orientation val="minMax"/>
        </c:scaling>
        <c:delete val="0"/>
        <c:axPos val="b"/>
        <c:numFmt formatCode="General" sourceLinked="0"/>
        <c:majorTickMark val="out"/>
        <c:minorTickMark val="none"/>
        <c:tickLblPos val="nextTo"/>
        <c:txPr>
          <a:bodyPr/>
          <a:lstStyle/>
          <a:p>
            <a:pPr>
              <a:defRPr sz="1200" baseline="0">
                <a:solidFill>
                  <a:srgbClr val="565350"/>
                </a:solidFill>
              </a:defRPr>
            </a:pPr>
            <a:endParaRPr lang="pl-PL"/>
          </a:p>
        </c:txPr>
        <c:crossAx val="178424832"/>
        <c:crosses val="autoZero"/>
        <c:auto val="1"/>
        <c:lblAlgn val="ctr"/>
        <c:lblOffset val="100"/>
        <c:noMultiLvlLbl val="0"/>
      </c:catAx>
      <c:valAx>
        <c:axId val="178424832"/>
        <c:scaling>
          <c:orientation val="minMax"/>
          <c:max val="1200"/>
        </c:scaling>
        <c:delete val="0"/>
        <c:axPos val="l"/>
        <c:majorGridlines>
          <c:spPr>
            <a:ln>
              <a:solidFill>
                <a:sysClr val="window" lastClr="FFFFFF"/>
              </a:solidFill>
            </a:ln>
          </c:spPr>
        </c:majorGridlines>
        <c:numFmt formatCode="#,###" sourceLinked="0"/>
        <c:majorTickMark val="out"/>
        <c:minorTickMark val="none"/>
        <c:tickLblPos val="nextTo"/>
        <c:spPr>
          <a:ln>
            <a:solidFill>
              <a:sysClr val="window" lastClr="FFFFFF"/>
            </a:solidFill>
          </a:ln>
        </c:spPr>
        <c:txPr>
          <a:bodyPr/>
          <a:lstStyle/>
          <a:p>
            <a:pPr>
              <a:defRPr sz="1200" baseline="0">
                <a:solidFill>
                  <a:srgbClr val="565350"/>
                </a:solidFill>
              </a:defRPr>
            </a:pPr>
            <a:endParaRPr lang="pl-PL"/>
          </a:p>
        </c:txPr>
        <c:crossAx val="178423296"/>
        <c:crosses val="autoZero"/>
        <c:crossBetween val="between"/>
        <c:majorUnit val="200"/>
      </c:valAx>
    </c:plotArea>
    <c:legend>
      <c:legendPos val="r"/>
      <c:overlay val="0"/>
      <c:txPr>
        <a:bodyPr/>
        <a:lstStyle/>
        <a:p>
          <a:pPr>
            <a:defRPr sz="1200" baseline="0">
              <a:solidFill>
                <a:srgbClr val="565350"/>
              </a:solidFill>
              <a:latin typeface="Calibri" pitchFamily="34" charset="0"/>
            </a:defRPr>
          </a:pPr>
          <a:endParaRPr lang="pl-PL"/>
        </a:p>
      </c:txPr>
    </c:legend>
    <c:plotVisOnly val="1"/>
    <c:dispBlanksAs val="gap"/>
    <c:showDLblsOverMax val="0"/>
  </c:chart>
  <c:spPr>
    <a:ln>
      <a:solidFill>
        <a:schemeClr val="bg1"/>
      </a:solidFill>
    </a:ln>
  </c:sp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DA290-1D1C-4984-B448-6B9944451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1630</Words>
  <Characters>9782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11390</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Emilia Zuzia</cp:lastModifiedBy>
  <cp:revision>4</cp:revision>
  <cp:lastPrinted>2016-12-19T13:09:00Z</cp:lastPrinted>
  <dcterms:created xsi:type="dcterms:W3CDTF">2017-10-06T13:48:00Z</dcterms:created>
  <dcterms:modified xsi:type="dcterms:W3CDTF">2017-10-09T09:06:00Z</dcterms:modified>
</cp:coreProperties>
</file>