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F73" w:rsidRPr="00A217F4" w:rsidRDefault="00A46AE5" w:rsidP="00BC1378">
      <w:pPr>
        <w:pStyle w:val="Nagwek1"/>
        <w:spacing w:line="276" w:lineRule="auto"/>
        <w:ind w:left="0"/>
        <w:rPr>
          <w:rFonts w:asciiTheme="minorHAnsi" w:hAnsiTheme="minorHAnsi"/>
          <w:b w:val="0"/>
          <w:bCs w:val="0"/>
          <w:sz w:val="20"/>
        </w:rPr>
      </w:pPr>
      <w:r>
        <w:rPr>
          <w:rFonts w:asciiTheme="minorHAnsi" w:hAnsiTheme="minorHAnsi"/>
          <w:b w:val="0"/>
          <w:bCs w:val="0"/>
          <w:sz w:val="20"/>
        </w:rPr>
        <w:t>15</w:t>
      </w:r>
      <w:r w:rsidR="00877EA4">
        <w:rPr>
          <w:rFonts w:asciiTheme="minorHAnsi" w:hAnsiTheme="minorHAnsi"/>
          <w:b w:val="0"/>
          <w:bCs w:val="0"/>
          <w:sz w:val="20"/>
        </w:rPr>
        <w:t>.0</w:t>
      </w:r>
      <w:r>
        <w:rPr>
          <w:rFonts w:asciiTheme="minorHAnsi" w:hAnsiTheme="minorHAnsi"/>
          <w:b w:val="0"/>
          <w:bCs w:val="0"/>
          <w:sz w:val="20"/>
        </w:rPr>
        <w:t>1</w:t>
      </w:r>
      <w:r w:rsidR="00881459">
        <w:rPr>
          <w:rFonts w:asciiTheme="minorHAnsi" w:hAnsiTheme="minorHAnsi"/>
          <w:b w:val="0"/>
          <w:bCs w:val="0"/>
          <w:sz w:val="20"/>
        </w:rPr>
        <w:t>.201</w:t>
      </w:r>
      <w:r>
        <w:rPr>
          <w:rFonts w:asciiTheme="minorHAnsi" w:hAnsiTheme="minorHAnsi"/>
          <w:b w:val="0"/>
          <w:bCs w:val="0"/>
          <w:sz w:val="20"/>
        </w:rPr>
        <w:t>8</w:t>
      </w:r>
    </w:p>
    <w:p w:rsidR="006A2F73" w:rsidRPr="00A217F4" w:rsidRDefault="006A2F73" w:rsidP="00BC1378">
      <w:pPr>
        <w:pStyle w:val="Nagwek1"/>
        <w:spacing w:line="276" w:lineRule="auto"/>
        <w:ind w:left="0"/>
        <w:rPr>
          <w:rFonts w:asciiTheme="minorHAnsi" w:hAnsiTheme="minorHAnsi" w:cs="Arial"/>
          <w:b w:val="0"/>
          <w:bCs w:val="0"/>
          <w:sz w:val="22"/>
          <w:szCs w:val="22"/>
        </w:rPr>
      </w:pPr>
      <w:r w:rsidRPr="00A217F4">
        <w:rPr>
          <w:rFonts w:asciiTheme="minorHAnsi" w:hAnsiTheme="minorHAnsi" w:cs="Arial"/>
          <w:b w:val="0"/>
          <w:bCs w:val="0"/>
          <w:sz w:val="20"/>
          <w:szCs w:val="22"/>
        </w:rPr>
        <w:t>Informacja prasowa portalu</w:t>
      </w:r>
    </w:p>
    <w:p w:rsidR="006A2F73" w:rsidRPr="00A217F4" w:rsidRDefault="00884F06" w:rsidP="00BC1378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A217F4">
        <w:rPr>
          <w:rFonts w:asciiTheme="minorHAnsi" w:hAnsiTheme="minorHAnsi"/>
          <w:noProof/>
          <w:lang w:eastAsia="pl-PL"/>
        </w:rPr>
        <w:drawing>
          <wp:inline distT="0" distB="0" distL="0" distR="0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 w:rsidRPr="00A217F4">
        <w:rPr>
          <w:rFonts w:asciiTheme="minorHAnsi" w:hAnsiTheme="minorHAnsi"/>
          <w:b/>
          <w:bCs/>
        </w:rPr>
        <w:t>Pytania i dodatkowe informacje:</w:t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</w:rPr>
      </w:pPr>
      <w:r w:rsidRPr="00A217F4">
        <w:rPr>
          <w:rFonts w:asciiTheme="minorHAnsi" w:hAnsiTheme="minorHAnsi"/>
        </w:rPr>
        <w:t xml:space="preserve">tel. </w:t>
      </w:r>
      <w:r w:rsidR="00DE45D2" w:rsidRPr="00A217F4">
        <w:rPr>
          <w:rFonts w:asciiTheme="minorHAnsi" w:hAnsiTheme="minorHAnsi"/>
        </w:rPr>
        <w:t>509 509</w:t>
      </w:r>
      <w:r w:rsidR="00BE15EA" w:rsidRPr="00A217F4">
        <w:rPr>
          <w:rFonts w:asciiTheme="minorHAnsi" w:hAnsiTheme="minorHAnsi"/>
        </w:rPr>
        <w:t> </w:t>
      </w:r>
      <w:r w:rsidR="00DE45D2" w:rsidRPr="00A217F4">
        <w:rPr>
          <w:rFonts w:asciiTheme="minorHAnsi" w:hAnsiTheme="minorHAnsi"/>
        </w:rPr>
        <w:t>536</w:t>
      </w:r>
    </w:p>
    <w:p w:rsidR="006D03DA" w:rsidRDefault="00EC3321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Style w:val="Hipercze"/>
          <w:rFonts w:asciiTheme="minorHAnsi" w:hAnsiTheme="minorHAnsi" w:cs="Arial"/>
          <w:b w:val="0"/>
          <w:sz w:val="20"/>
        </w:rPr>
      </w:pPr>
      <w:hyperlink r:id="rId9" w:history="1">
        <w:r w:rsidR="006D03DA" w:rsidRPr="00A217F4">
          <w:rPr>
            <w:rStyle w:val="Hipercze"/>
            <w:rFonts w:asciiTheme="minorHAnsi" w:hAnsiTheme="minorHAnsi" w:cs="Arial"/>
            <w:b w:val="0"/>
            <w:sz w:val="20"/>
          </w:rPr>
          <w:t>media@sedlak.pl</w:t>
        </w:r>
      </w:hyperlink>
    </w:p>
    <w:p w:rsidR="00A46AE5" w:rsidRPr="00A217F4" w:rsidRDefault="00A46AE5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</w:p>
    <w:p w:rsidR="00A46AE5" w:rsidRPr="00A46AE5" w:rsidRDefault="00A46AE5" w:rsidP="00A46AE5">
      <w:pPr>
        <w:spacing w:line="276" w:lineRule="auto"/>
        <w:jc w:val="center"/>
        <w:rPr>
          <w:rFonts w:ascii="Calibri" w:eastAsia="Calibri" w:hAnsi="Calibri"/>
          <w:b/>
          <w:color w:val="002060"/>
          <w:sz w:val="40"/>
          <w:szCs w:val="40"/>
        </w:rPr>
      </w:pPr>
      <w:r w:rsidRPr="00A46AE5">
        <w:rPr>
          <w:rFonts w:ascii="Calibri" w:eastAsia="Calibri" w:hAnsi="Calibri"/>
          <w:b/>
          <w:color w:val="002060"/>
          <w:sz w:val="40"/>
          <w:szCs w:val="40"/>
        </w:rPr>
        <w:t>WIERNOŚĆ ZASADOM. ILE ZARABIAJĄ DYREKTORZY JOHNSON &amp; JOHNSON?</w:t>
      </w:r>
    </w:p>
    <w:p w:rsidR="00A46AE5" w:rsidRPr="00A46AE5" w:rsidRDefault="00A46AE5" w:rsidP="00A46AE5">
      <w:pPr>
        <w:spacing w:line="276" w:lineRule="auto"/>
        <w:jc w:val="center"/>
        <w:rPr>
          <w:rFonts w:ascii="Calibri" w:eastAsia="Calibri" w:hAnsi="Calibri"/>
          <w:b/>
          <w:i/>
          <w:color w:val="002060"/>
        </w:rPr>
      </w:pPr>
    </w:p>
    <w:p w:rsidR="00A46AE5" w:rsidRPr="00A46AE5" w:rsidRDefault="00A46AE5" w:rsidP="00A46AE5">
      <w:pPr>
        <w:spacing w:line="276" w:lineRule="auto"/>
        <w:jc w:val="center"/>
        <w:rPr>
          <w:rFonts w:ascii="Calibri" w:eastAsia="Calibri" w:hAnsi="Calibri"/>
          <w:b/>
          <w:i/>
          <w:color w:val="002060"/>
        </w:rPr>
      </w:pP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>Johnson &amp; Johnson jest amerykańskim koncernem farmaceutycznym i kosmetycznym z siedzibą w New Brunswick w USA. Produkuje także sprzęt medyczny. Obejmuje ponad 250 spółek na całym świecie i zatrudnia blisko 130 tysięcy osób. Wśród najbardziej rozpoznawalnych marek w portfolio są: kosmetyki dla dzieci Johnson’s Baby, kosmetyki Purell czy Neutrogena, a także takie marki leków Sudafed, Zyrtec czy Nicorette. Firma istnieje już ponad 130 lat – została założona przez trzech braci Johnsonów w 1886 roku. Wyniki finansowe za 2016 rok są równie ciekawe, co jej historia -  przychód za 2016 rok to blisko 72 mld USD, a zysk netto w skali roku to prawie 16,5 mld USD. Johnson &amp; Johnson wielokrotnie podkreśla wierność kilku ważnym i nietypowym zasadom w sw</w:t>
      </w:r>
      <w:bookmarkStart w:id="0" w:name="_GoBack"/>
      <w:bookmarkEnd w:id="0"/>
      <w:r w:rsidRPr="00A46AE5">
        <w:rPr>
          <w:rFonts w:ascii="Calibri" w:eastAsia="Calibri" w:hAnsi="Calibri"/>
        </w:rPr>
        <w:t xml:space="preserve">oim raporcie </w:t>
      </w:r>
      <w:r w:rsidRPr="00A46AE5">
        <w:rPr>
          <w:rFonts w:ascii="Calibri" w:eastAsia="Calibri" w:hAnsi="Calibri"/>
          <w:i/>
        </w:rPr>
        <w:t>proxy</w:t>
      </w:r>
      <w:r w:rsidRPr="00A46AE5">
        <w:rPr>
          <w:rFonts w:ascii="Calibri" w:eastAsia="Calibri" w:hAnsi="Calibri"/>
        </w:rPr>
        <w:t>. Także w procesie wynagradzania swoich top menedżerów.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</w:rPr>
      </w:pP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b/>
          <w:color w:val="002060"/>
          <w:sz w:val="26"/>
          <w:szCs w:val="26"/>
        </w:rPr>
      </w:pPr>
      <w:r w:rsidRPr="00A46AE5">
        <w:rPr>
          <w:rFonts w:ascii="Calibri" w:eastAsia="Calibri" w:hAnsi="Calibri"/>
          <w:b/>
          <w:color w:val="002060"/>
          <w:sz w:val="26"/>
          <w:szCs w:val="26"/>
        </w:rPr>
        <w:t>Główne zasady wynagradzania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 xml:space="preserve">Jako jedną z najważniejszych zasad wynagradzania Johnson &amp; Johnson wymienia wierność wartościom spółki – jej </w:t>
      </w:r>
      <w:r w:rsidRPr="00A46AE5">
        <w:rPr>
          <w:rFonts w:ascii="Calibri" w:eastAsia="Calibri" w:hAnsi="Calibri"/>
          <w:i/>
        </w:rPr>
        <w:t>credo</w:t>
      </w:r>
      <w:r w:rsidRPr="00A46AE5">
        <w:rPr>
          <w:rFonts w:ascii="Calibri" w:eastAsia="Calibri" w:hAnsi="Calibri"/>
        </w:rPr>
        <w:t>. W skrócie to wypełnianie obowiązków wobec:</w:t>
      </w:r>
    </w:p>
    <w:p w:rsidR="00A46AE5" w:rsidRPr="00A46AE5" w:rsidRDefault="00A46AE5" w:rsidP="00A46AE5">
      <w:pPr>
        <w:numPr>
          <w:ilvl w:val="0"/>
          <w:numId w:val="28"/>
        </w:numPr>
        <w:spacing w:after="160" w:line="276" w:lineRule="auto"/>
        <w:contextualSpacing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>klientów („pracowników służby zdrowia, pacjentów i konsumentów”) – m.in. poprzez „ciągłe dążenie do obniżania kosztów, by utrzymać rozsądne ceny produktów”;</w:t>
      </w:r>
    </w:p>
    <w:p w:rsidR="00A46AE5" w:rsidRPr="00A46AE5" w:rsidRDefault="00A46AE5" w:rsidP="00A46AE5">
      <w:pPr>
        <w:numPr>
          <w:ilvl w:val="0"/>
          <w:numId w:val="28"/>
        </w:numPr>
        <w:spacing w:after="160" w:line="276" w:lineRule="auto"/>
        <w:contextualSpacing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>swoich pracowników – m.in. „dbanie o sprawiedliwe i adekwatne wynagrodzenie oraz bezpieczeństwo pracy, a także etyczne zarządzanie”;</w:t>
      </w:r>
    </w:p>
    <w:p w:rsidR="00A46AE5" w:rsidRPr="00A46AE5" w:rsidRDefault="00A46AE5" w:rsidP="00A46AE5">
      <w:pPr>
        <w:numPr>
          <w:ilvl w:val="0"/>
          <w:numId w:val="28"/>
        </w:numPr>
        <w:spacing w:after="160" w:line="276" w:lineRule="auto"/>
        <w:contextualSpacing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>lokalnych społeczności, w których firma działa – m.in. „wspieranie lokalnych organizacji charytatywnych i płacenie podatków”;</w:t>
      </w:r>
    </w:p>
    <w:p w:rsidR="00A46AE5" w:rsidRPr="00A46AE5" w:rsidRDefault="00A46AE5" w:rsidP="00A46AE5">
      <w:pPr>
        <w:numPr>
          <w:ilvl w:val="0"/>
          <w:numId w:val="28"/>
        </w:numPr>
        <w:spacing w:after="160" w:line="276" w:lineRule="auto"/>
        <w:contextualSpacing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>akcjonariuszy – m.in. „dbanie o ciągłe inwestycje, badania i innowacje, tworzenie rezerw na trudne czasy, tak by zapewnić zysk”.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 xml:space="preserve">Stwierdzenia te można potraktować jako element działania w duchu społecznej odpowiedzialności biznesu. Jednak, co wielokrotnie podkreśla się w </w:t>
      </w:r>
      <w:r w:rsidRPr="00A46AE5">
        <w:rPr>
          <w:rFonts w:ascii="Calibri" w:eastAsia="Calibri" w:hAnsi="Calibri"/>
          <w:i/>
        </w:rPr>
        <w:t>proxy</w:t>
      </w:r>
      <w:r w:rsidRPr="00A46AE5">
        <w:rPr>
          <w:rFonts w:ascii="Calibri" w:eastAsia="Calibri" w:hAnsi="Calibri"/>
        </w:rPr>
        <w:t xml:space="preserve"> firmy, przy decyzjach dotyczących wynagrodzenia dyrektorów wykonawczych nie bierze się pod uwagę samych „twardych wyników”. Komitet ds. wynagrodzeń analizuje także, w jaki sposób dyrektorzy podejmowali swoje decyzje i czy ich rezultaty są spójne z wyżej przedstawionymi wartościami przyświecającymi organizacji. Pomimo tego, że nie jest to coś do końca </w:t>
      </w:r>
      <w:r w:rsidRPr="00A46AE5">
        <w:rPr>
          <w:rFonts w:ascii="Calibri" w:eastAsia="Calibri" w:hAnsi="Calibri"/>
        </w:rPr>
        <w:lastRenderedPageBreak/>
        <w:t xml:space="preserve">mierzalnego, co również w </w:t>
      </w:r>
      <w:r w:rsidRPr="00A46AE5">
        <w:rPr>
          <w:rFonts w:ascii="Calibri" w:eastAsia="Calibri" w:hAnsi="Calibri"/>
          <w:i/>
        </w:rPr>
        <w:t>proxy</w:t>
      </w:r>
      <w:r w:rsidRPr="00A46AE5">
        <w:rPr>
          <w:rFonts w:ascii="Calibri" w:eastAsia="Calibri" w:hAnsi="Calibri"/>
        </w:rPr>
        <w:t xml:space="preserve"> zauważono. Inne zasady wynagradzania nie odbiegają zbytnio od tych w innych spółkach notowanych na amerykańskiej giełdzie: </w:t>
      </w:r>
    </w:p>
    <w:p w:rsidR="00A46AE5" w:rsidRPr="00A46AE5" w:rsidRDefault="00A46AE5" w:rsidP="00A46AE5">
      <w:pPr>
        <w:numPr>
          <w:ilvl w:val="0"/>
          <w:numId w:val="24"/>
        </w:numPr>
        <w:spacing w:after="160" w:line="276" w:lineRule="auto"/>
        <w:ind w:left="360"/>
        <w:contextualSpacing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>płaca za wyniki: zarówno premie roczne jak i wynagrodzenie kapitałowe top menedżerów, w tym CEO - jest ściśle powiązane z ich wynikami;</w:t>
      </w:r>
    </w:p>
    <w:p w:rsidR="00A46AE5" w:rsidRPr="00A46AE5" w:rsidRDefault="00A46AE5" w:rsidP="00A46AE5">
      <w:pPr>
        <w:numPr>
          <w:ilvl w:val="0"/>
          <w:numId w:val="24"/>
        </w:numPr>
        <w:spacing w:after="160" w:line="276" w:lineRule="auto"/>
        <w:ind w:left="360"/>
        <w:contextualSpacing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>limity wypłat wynagrodzenia w formie kapitałowej;</w:t>
      </w:r>
    </w:p>
    <w:p w:rsidR="00A46AE5" w:rsidRPr="00A46AE5" w:rsidRDefault="00A46AE5" w:rsidP="00A46AE5">
      <w:pPr>
        <w:numPr>
          <w:ilvl w:val="0"/>
          <w:numId w:val="24"/>
        </w:numPr>
        <w:spacing w:after="160" w:line="276" w:lineRule="auto"/>
        <w:ind w:left="360"/>
        <w:contextualSpacing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>pensja zasadnicza w granicach mediany rynkowej;</w:t>
      </w:r>
    </w:p>
    <w:p w:rsidR="00A46AE5" w:rsidRPr="00A46AE5" w:rsidRDefault="00A46AE5" w:rsidP="00A46AE5">
      <w:pPr>
        <w:numPr>
          <w:ilvl w:val="0"/>
          <w:numId w:val="24"/>
        </w:numPr>
        <w:spacing w:after="160" w:line="276" w:lineRule="auto"/>
        <w:ind w:left="360"/>
        <w:contextualSpacing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 xml:space="preserve">mechanizm „wycofania się” z kontraktu w części dotyczącej wynagrodzenia kapitałowego („clawback policy”) – </w:t>
      </w:r>
      <w:r w:rsidRPr="00A46AE5">
        <w:rPr>
          <w:rFonts w:ascii="Helvetica" w:eastAsia="Calibri" w:hAnsi="Helvetica" w:cs="Helvetica"/>
          <w:color w:val="2C2C2C"/>
          <w:sz w:val="22"/>
          <w:szCs w:val="22"/>
          <w:shd w:val="clear" w:color="auto" w:fill="FFFFFF"/>
        </w:rPr>
        <w:t> </w:t>
      </w:r>
      <w:r w:rsidRPr="00A46AE5">
        <w:rPr>
          <w:rFonts w:ascii="Calibri" w:eastAsia="Calibri" w:hAnsi="Calibri"/>
        </w:rPr>
        <w:t>w razie korekt finansowych w sprawozdaniach spółki z powodu istotnych błędów, dyrektorzy mają zwrócić naliczone im wcześniej nienależne akcje, opcje lub premie;</w:t>
      </w:r>
    </w:p>
    <w:p w:rsidR="00A46AE5" w:rsidRPr="00A46AE5" w:rsidRDefault="00A46AE5" w:rsidP="00A46AE5">
      <w:pPr>
        <w:numPr>
          <w:ilvl w:val="0"/>
          <w:numId w:val="24"/>
        </w:numPr>
        <w:spacing w:after="160" w:line="276" w:lineRule="auto"/>
        <w:ind w:left="360"/>
        <w:contextualSpacing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>brak „przyspieszonych” odpraw w formie kapitałowej związanych z przejęciem spółki i brak porozumień z menedżerami w sprawie potencjalnego przejęcia spółki;</w:t>
      </w:r>
    </w:p>
    <w:p w:rsidR="00A46AE5" w:rsidRPr="00A46AE5" w:rsidRDefault="00A46AE5" w:rsidP="00A46AE5">
      <w:pPr>
        <w:numPr>
          <w:ilvl w:val="0"/>
          <w:numId w:val="24"/>
        </w:numPr>
        <w:spacing w:after="160" w:line="276" w:lineRule="auto"/>
        <w:ind w:left="360"/>
        <w:contextualSpacing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>zakaz transakcji hedgingowych i krótkiej sprzedaży dla menedżerów i dyrektorów;</w:t>
      </w:r>
    </w:p>
    <w:p w:rsidR="00A46AE5" w:rsidRPr="00A46AE5" w:rsidRDefault="00A46AE5" w:rsidP="00A46AE5">
      <w:pPr>
        <w:numPr>
          <w:ilvl w:val="0"/>
          <w:numId w:val="24"/>
        </w:numPr>
        <w:spacing w:after="160" w:line="276" w:lineRule="auto"/>
        <w:ind w:left="360"/>
        <w:contextualSpacing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>brak zagwarantowanych premii i podwyżek;</w:t>
      </w:r>
    </w:p>
    <w:p w:rsidR="00A46AE5" w:rsidRPr="00A46AE5" w:rsidRDefault="00A46AE5" w:rsidP="00A46AE5">
      <w:pPr>
        <w:numPr>
          <w:ilvl w:val="0"/>
          <w:numId w:val="24"/>
        </w:numPr>
        <w:spacing w:after="160" w:line="276" w:lineRule="auto"/>
        <w:ind w:left="360"/>
        <w:contextualSpacing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>brak zmian cen opcji na akcje w pakiecie wynagrodzeń bez zgody akcjonariuszy;</w:t>
      </w:r>
    </w:p>
    <w:p w:rsidR="00A46AE5" w:rsidRPr="00A46AE5" w:rsidRDefault="00A46AE5" w:rsidP="00A46AE5">
      <w:pPr>
        <w:numPr>
          <w:ilvl w:val="0"/>
          <w:numId w:val="24"/>
        </w:numPr>
        <w:spacing w:after="160" w:line="276" w:lineRule="auto"/>
        <w:ind w:left="360"/>
        <w:contextualSpacing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 xml:space="preserve">brak wypłat dywidendy czy jej ekwiwalentów za niezrealizowane akcje przyznane w ramach wynagrodzenia kapitałowego. 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b/>
          <w:color w:val="002060"/>
          <w:sz w:val="26"/>
          <w:szCs w:val="26"/>
        </w:rPr>
      </w:pP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b/>
          <w:color w:val="002060"/>
          <w:sz w:val="26"/>
          <w:szCs w:val="26"/>
        </w:rPr>
      </w:pP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b/>
          <w:color w:val="002060"/>
          <w:sz w:val="26"/>
          <w:szCs w:val="26"/>
        </w:rPr>
      </w:pPr>
      <w:r w:rsidRPr="00A46AE5">
        <w:rPr>
          <w:rFonts w:ascii="Calibri" w:eastAsia="Calibri" w:hAnsi="Calibri"/>
          <w:b/>
          <w:color w:val="002060"/>
          <w:sz w:val="26"/>
          <w:szCs w:val="26"/>
        </w:rPr>
        <w:t>Porównanie wynagrodzeń ze stawkami rynkowymi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 xml:space="preserve">W Johnson &amp; Johnson komitet ds. wynagrodzeń korzysta z dwóch różnych grup porównawczych. Pierwsza grupa to amerykańskie spółki giełdowe wybrane na podstawie poniższych kryteriów: </w:t>
      </w:r>
    </w:p>
    <w:p w:rsidR="00A46AE5" w:rsidRPr="00A46AE5" w:rsidRDefault="00A46AE5" w:rsidP="00A46AE5">
      <w:pPr>
        <w:numPr>
          <w:ilvl w:val="0"/>
          <w:numId w:val="26"/>
        </w:numPr>
        <w:spacing w:after="160" w:line="276" w:lineRule="auto"/>
        <w:contextualSpacing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>spółki o podobnej wielkości i zakresie działania;</w:t>
      </w:r>
    </w:p>
    <w:p w:rsidR="00A46AE5" w:rsidRPr="00A46AE5" w:rsidRDefault="00A46AE5" w:rsidP="00A46AE5">
      <w:pPr>
        <w:numPr>
          <w:ilvl w:val="0"/>
          <w:numId w:val="26"/>
        </w:numPr>
        <w:spacing w:after="160" w:line="276" w:lineRule="auto"/>
        <w:contextualSpacing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>spółki, w których występują podobne stanowiska dyrektorskie;</w:t>
      </w:r>
    </w:p>
    <w:p w:rsidR="00A46AE5" w:rsidRPr="00A46AE5" w:rsidRDefault="00A46AE5" w:rsidP="00A46AE5">
      <w:pPr>
        <w:numPr>
          <w:ilvl w:val="0"/>
          <w:numId w:val="26"/>
        </w:numPr>
        <w:spacing w:after="160" w:line="276" w:lineRule="auto"/>
        <w:contextualSpacing/>
        <w:jc w:val="both"/>
        <w:rPr>
          <w:rFonts w:ascii="Calibri" w:eastAsia="Calibri" w:hAnsi="Calibri"/>
          <w:i/>
        </w:rPr>
      </w:pPr>
      <w:r w:rsidRPr="00A46AE5">
        <w:rPr>
          <w:rFonts w:ascii="Calibri" w:eastAsia="Calibri" w:hAnsi="Calibri"/>
        </w:rPr>
        <w:t>spółki, z którymi firma bezpośrednio konkuruje o najlepsze talenty.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>Wybierając firmy, brano także pod uwagę branżę farmaceutyczno-kosmetyczną, zysk netto, globalną obecność czy złożoność działalności biznesowej i procent wydatków danej spółki na działy R&amp;D. W skład tej grupy celowo nie wchodzą żadne spółki spoza USA, co motywowane jest niemożnością porównania danych płacowych – najczęściej są one niedostępne. Wykluczono z niej również firmy, których plany wynagrodzenia odbiegają znacząco kształtem od tego w Johnson &amp; Johnson - czyli gigantów z branży finansowej czy wydobycia ropy naftowej i gazu.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</w:rPr>
      </w:pP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  <w:lang w:val="en-GB"/>
        </w:rPr>
        <w:t xml:space="preserve">W grupie porównawczej za 2016 rok znalazły się: 3M Company, Abott Laboratories, Boeing, Bristol-Myers Squibb, Cisco Systems Inc., Coca-Cola, Eli Lilly And Company, General Electric, Hewlett Packard, Intel, IBM, Merck &amp; Co., Microsoft, PepsiCo, Pfizer Inc., Procter &amp; Gamble, United Technologies Corporation. </w:t>
      </w:r>
      <w:r w:rsidRPr="00A46AE5">
        <w:rPr>
          <w:rFonts w:ascii="Calibri" w:eastAsia="Calibri" w:hAnsi="Calibri"/>
        </w:rPr>
        <w:t>Wśród wymienionych tu firm Jonshon &amp; Johnson zajmuje piąte miejsce pod względem przychodu – blisko 72 mld USD. Nieco lepiej wypada pod względem zysku netto i kapitalizacji rynkowej – uplasował się na drugim miejscu z odpowiednio 16,5 mld USD i 313 mld USD.</w:t>
      </w:r>
    </w:p>
    <w:p w:rsidR="00A46AE5" w:rsidRPr="00A46AE5" w:rsidRDefault="00A46AE5" w:rsidP="00A46AE5">
      <w:pPr>
        <w:spacing w:line="276" w:lineRule="auto"/>
        <w:ind w:left="720"/>
        <w:contextualSpacing/>
        <w:jc w:val="both"/>
        <w:rPr>
          <w:rFonts w:ascii="Calibri" w:eastAsia="Calibri" w:hAnsi="Calibri"/>
          <w:i/>
        </w:rPr>
      </w:pP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>Dodatkowo w procesie porównania wynagrodzeń dyrektorów wykonawczych i ich wyników spółka korzysta z grupy specjalistycznej złożonej ściśle z firm lub ich segmentów biznesowych, z którymi konkuruje w danej branży:</w:t>
      </w:r>
    </w:p>
    <w:p w:rsidR="00A46AE5" w:rsidRPr="00A46AE5" w:rsidRDefault="00A46AE5" w:rsidP="00A46AE5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  <w:b/>
        </w:rPr>
        <w:t>farmaceutycznej</w:t>
      </w:r>
      <w:r w:rsidRPr="00A46AE5">
        <w:rPr>
          <w:rFonts w:ascii="Calibri" w:eastAsia="Calibri" w:hAnsi="Calibri"/>
        </w:rPr>
        <w:t>: AbbVie Inc, Amgen Inc., AstraZeneca plc, Bristol-Myers Squibb, Eli Lilly &amp; Company, GlaxoSmithKline, Merck &amp; Co, Novartis, Prizer Inc, Roche Holding AG, Sanofi SA;</w:t>
      </w:r>
    </w:p>
    <w:p w:rsidR="00A46AE5" w:rsidRPr="00A46AE5" w:rsidRDefault="00A46AE5" w:rsidP="00A46AE5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libri" w:eastAsia="Calibri" w:hAnsi="Calibri"/>
          <w:lang w:val="en-GB"/>
        </w:rPr>
      </w:pPr>
      <w:r w:rsidRPr="00A46AE5">
        <w:rPr>
          <w:rFonts w:ascii="Calibri" w:eastAsia="Calibri" w:hAnsi="Calibri"/>
          <w:b/>
          <w:lang w:val="en-GB"/>
        </w:rPr>
        <w:t>urządzeń medycznych:</w:t>
      </w:r>
      <w:r w:rsidRPr="00A46AE5">
        <w:rPr>
          <w:rFonts w:ascii="Calibri" w:eastAsia="Calibri" w:hAnsi="Calibri"/>
          <w:lang w:val="en-GB"/>
        </w:rPr>
        <w:t xml:space="preserve"> Abott Laboratories, Allergan, Boston Scientific Corp, C. R. Bard, Edward Lifesciences, Medtronic, Cooper Companies, Roche Holding AG, Smith &amp; Nephew, St. Jude Medical, Stryker Corp, Zimmer Biomet Holdings;</w:t>
      </w:r>
    </w:p>
    <w:p w:rsidR="00A46AE5" w:rsidRPr="00A46AE5" w:rsidRDefault="00A46AE5" w:rsidP="00A46AE5">
      <w:pPr>
        <w:numPr>
          <w:ilvl w:val="0"/>
          <w:numId w:val="27"/>
        </w:numPr>
        <w:spacing w:after="160" w:line="276" w:lineRule="auto"/>
        <w:contextualSpacing/>
        <w:jc w:val="both"/>
        <w:rPr>
          <w:rFonts w:ascii="Calibri" w:eastAsia="Calibri" w:hAnsi="Calibri"/>
          <w:lang w:val="en-GB"/>
        </w:rPr>
      </w:pPr>
      <w:r w:rsidRPr="00A46AE5">
        <w:rPr>
          <w:rFonts w:ascii="Calibri" w:eastAsia="Calibri" w:hAnsi="Calibri"/>
          <w:b/>
          <w:lang w:val="en-GB"/>
        </w:rPr>
        <w:t>dóbr konsumpcyjnych/kosmetycznej</w:t>
      </w:r>
      <w:r w:rsidRPr="00A46AE5">
        <w:rPr>
          <w:rFonts w:ascii="Calibri" w:eastAsia="Calibri" w:hAnsi="Calibri"/>
          <w:lang w:val="en-GB"/>
        </w:rPr>
        <w:t>: Beiersdorf AG, Bayer AG, Colgate-Palmolive, GlaxoSmithKline, L’Oreal Group, Pfizer Inc, Reckitt Benckiser, Sanofi SA, Unilever plc.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>Firmy te wytwarzają podobne produkty co Johnson &amp; Johnson, mają podobne wskaźniki wzrostu sprzedaży, zysku neto, zysku na akcję (EPS), całkowitej stopy zwrotu z akcji (TSR). Niezależnym konsultantem ds. wynagrodzeń jest firma Frederic W. Cook &amp; Co. Inc.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i/>
        </w:rPr>
      </w:pP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i/>
        </w:rPr>
      </w:pP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b/>
          <w:color w:val="002060"/>
          <w:sz w:val="26"/>
          <w:szCs w:val="26"/>
        </w:rPr>
      </w:pPr>
      <w:r w:rsidRPr="00A46AE5">
        <w:rPr>
          <w:rFonts w:ascii="Calibri" w:eastAsia="Calibri" w:hAnsi="Calibri"/>
          <w:b/>
          <w:color w:val="002060"/>
          <w:sz w:val="26"/>
          <w:szCs w:val="26"/>
        </w:rPr>
        <w:t>Pensja zasadnicza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i/>
        </w:rPr>
      </w:pPr>
      <w:r w:rsidRPr="00A46AE5">
        <w:rPr>
          <w:rFonts w:ascii="Calibri" w:eastAsia="Calibri" w:hAnsi="Calibri"/>
        </w:rPr>
        <w:t xml:space="preserve">Pensja zasadnicza jest wypłacana top menedżerom za stałe obowiązki na ich stanowiskach. Na jej wysokość wpływa porównanie z rynkiem, zakres obowiązków, doświadczenie, umiejętności, staż pracy, oraz budżet na wynagrodzenia i indywidualne wyniki.  W corocznym procesie, komitet ds. wynagrodzeń dokonuje jej przeglądu i biorąc pod uwagę indywidualne wyniki, zmiany zakresu obowiązków oraz </w:t>
      </w:r>
      <w:r w:rsidRPr="00A46AE5">
        <w:rPr>
          <w:rFonts w:ascii="Calibri" w:eastAsia="Calibri" w:hAnsi="Calibri"/>
          <w:i/>
        </w:rPr>
        <w:t>credo</w:t>
      </w:r>
      <w:r w:rsidRPr="00A46AE5">
        <w:rPr>
          <w:rFonts w:ascii="Calibri" w:eastAsia="Calibri" w:hAnsi="Calibri"/>
        </w:rPr>
        <w:t xml:space="preserve"> firmy przyznaje ewentualne podwyżki.</w:t>
      </w:r>
    </w:p>
    <w:p w:rsidR="00A46AE5" w:rsidRPr="00A46AE5" w:rsidRDefault="00A46AE5" w:rsidP="00A46AE5">
      <w:pPr>
        <w:spacing w:line="276" w:lineRule="auto"/>
        <w:jc w:val="both"/>
        <w:rPr>
          <w:rFonts w:ascii="Helvetica" w:eastAsia="Calibri" w:hAnsi="Helvetica" w:cs="Helvetica"/>
          <w:i/>
          <w:color w:val="2C2C2C"/>
          <w:sz w:val="22"/>
          <w:szCs w:val="22"/>
          <w:shd w:val="clear" w:color="auto" w:fill="FFFFFF"/>
        </w:rPr>
      </w:pPr>
      <w:r w:rsidRPr="00A46AE5">
        <w:rPr>
          <w:rFonts w:ascii="Calibri" w:eastAsia="Calibri" w:hAnsi="Calibri"/>
          <w:i/>
        </w:rPr>
        <w:t xml:space="preserve"> </w:t>
      </w:r>
    </w:p>
    <w:p w:rsidR="00A46AE5" w:rsidRPr="00A46AE5" w:rsidRDefault="00A46AE5" w:rsidP="00A46AE5">
      <w:pPr>
        <w:spacing w:line="276" w:lineRule="auto"/>
        <w:jc w:val="center"/>
        <w:rPr>
          <w:rFonts w:ascii="Calibri" w:eastAsia="Calibri" w:hAnsi="Calibri"/>
          <w:b/>
          <w:color w:val="002060"/>
        </w:rPr>
      </w:pPr>
      <w:r w:rsidRPr="00A46AE5">
        <w:rPr>
          <w:rFonts w:ascii="Calibri" w:eastAsia="Calibri" w:hAnsi="Calibri"/>
          <w:b/>
          <w:color w:val="002060"/>
        </w:rPr>
        <w:t>Wykres 1. Części składowe pakietów wynagrodzeń CEO</w:t>
      </w:r>
    </w:p>
    <w:p w:rsidR="00A46AE5" w:rsidRDefault="00A46AE5" w:rsidP="00A46AE5">
      <w:pPr>
        <w:spacing w:line="276" w:lineRule="auto"/>
        <w:jc w:val="center"/>
        <w:rPr>
          <w:rFonts w:ascii="Calibri" w:eastAsia="Calibri" w:hAnsi="Calibri"/>
          <w:b/>
          <w:color w:val="002060"/>
        </w:rPr>
      </w:pPr>
      <w:r w:rsidRPr="00A46AE5">
        <w:rPr>
          <w:rFonts w:ascii="Calibri" w:eastAsia="Calibri" w:hAnsi="Calibri"/>
          <w:b/>
          <w:color w:val="002060"/>
        </w:rPr>
        <w:t xml:space="preserve"> i innych dyrektorów wykonawczych Johnson &amp; Johnson w 2016 roku </w:t>
      </w:r>
    </w:p>
    <w:p w:rsidR="00A46AE5" w:rsidRPr="00A46AE5" w:rsidRDefault="00A46AE5" w:rsidP="00A46AE5">
      <w:pPr>
        <w:spacing w:line="276" w:lineRule="auto"/>
        <w:jc w:val="center"/>
        <w:rPr>
          <w:rFonts w:ascii="Calibri" w:eastAsia="Calibri" w:hAnsi="Calibri"/>
          <w:i/>
          <w:color w:val="002060"/>
        </w:rPr>
        <w:sectPr w:rsidR="00A46AE5" w:rsidRPr="00A46AE5" w:rsidSect="00EE7BB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libri" w:eastAsia="Calibri" w:hAnsi="Calibri"/>
          <w:noProof/>
          <w:sz w:val="20"/>
          <w:szCs w:val="20"/>
          <w:lang w:eastAsia="pl-PL"/>
        </w:rPr>
        <w:drawing>
          <wp:inline distT="0" distB="0" distL="0" distR="0">
            <wp:extent cx="4476750" cy="3053842"/>
            <wp:effectExtent l="0" t="0" r="0" b="0"/>
            <wp:docPr id="14" name="Obraz 14" descr="C:\Users\kpreidl\AppData\Local\Microsoft\Windows\INetCache\Content.Word\wykre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preidl\AppData\Local\Microsoft\Windows\INetCache\Content.Word\wykres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387" cy="306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AE5" w:rsidRPr="00A46AE5" w:rsidRDefault="00A46AE5" w:rsidP="00A46AE5">
      <w:pPr>
        <w:spacing w:line="276" w:lineRule="auto"/>
        <w:jc w:val="center"/>
        <w:rPr>
          <w:rFonts w:ascii="Calibri" w:eastAsia="Calibri" w:hAnsi="Calibri"/>
          <w:i/>
          <w:sz w:val="20"/>
          <w:szCs w:val="20"/>
        </w:rPr>
      </w:pPr>
      <w:r w:rsidRPr="00A46AE5">
        <w:rPr>
          <w:rFonts w:ascii="Calibri" w:eastAsia="Calibri" w:hAnsi="Calibri"/>
          <w:i/>
          <w:sz w:val="20"/>
          <w:szCs w:val="20"/>
        </w:rPr>
        <w:lastRenderedPageBreak/>
        <w:t xml:space="preserve">Opracowanie Sedlak </w:t>
      </w:r>
      <w:r w:rsidRPr="00A46AE5">
        <w:rPr>
          <w:rFonts w:ascii="Calibri" w:eastAsia="Calibri" w:hAnsi="Calibri"/>
          <w:i/>
          <w:sz w:val="16"/>
          <w:szCs w:val="16"/>
        </w:rPr>
        <w:t>&amp;</w:t>
      </w:r>
      <w:r w:rsidRPr="00A46AE5">
        <w:rPr>
          <w:rFonts w:ascii="Calibri" w:eastAsia="Calibri" w:hAnsi="Calibri"/>
          <w:i/>
          <w:sz w:val="20"/>
          <w:szCs w:val="20"/>
        </w:rPr>
        <w:t xml:space="preserve"> Sedlak na podstawie Johnson &amp; Johnson Proxy Statement</w:t>
      </w:r>
    </w:p>
    <w:p w:rsidR="00A46AE5" w:rsidRPr="00A46AE5" w:rsidRDefault="00A46AE5" w:rsidP="00A46AE5">
      <w:pPr>
        <w:spacing w:line="276" w:lineRule="auto"/>
        <w:rPr>
          <w:rFonts w:ascii="Calibri" w:eastAsia="Calibri" w:hAnsi="Calibri"/>
          <w:sz w:val="20"/>
          <w:szCs w:val="20"/>
        </w:rPr>
      </w:pPr>
    </w:p>
    <w:p w:rsidR="00A46AE5" w:rsidRPr="00A46AE5" w:rsidRDefault="00A46AE5" w:rsidP="00A46AE5">
      <w:pPr>
        <w:spacing w:line="276" w:lineRule="auto"/>
        <w:rPr>
          <w:rFonts w:ascii="Calibri" w:eastAsia="Calibri" w:hAnsi="Calibri"/>
          <w:sz w:val="20"/>
          <w:szCs w:val="20"/>
        </w:rPr>
      </w:pP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>W procesie przeglądu wynagrodzeń zdecydowano się utrzymać pensję zasadniczą CEO na 2017 rok na tym samym poziomie. Pensje pozostałych dyrektorów wykonawczych podniesiono o 3%. Wyjątkiem była Sandra Paterson, która otrzymała 10% podwyżkę ze względu na nowy, poszerzony zakres obowiązków.</w:t>
      </w:r>
    </w:p>
    <w:p w:rsidR="00A46AE5" w:rsidRPr="00A46AE5" w:rsidRDefault="00A46AE5" w:rsidP="00A46AE5">
      <w:pPr>
        <w:spacing w:line="276" w:lineRule="auto"/>
        <w:jc w:val="center"/>
        <w:rPr>
          <w:rFonts w:ascii="Calibri" w:eastAsia="Calibri" w:hAnsi="Calibri" w:cs="Helvetica"/>
          <w:i/>
          <w:color w:val="2C2C2C"/>
          <w:sz w:val="22"/>
          <w:szCs w:val="22"/>
          <w:shd w:val="clear" w:color="auto" w:fill="FFFFFF"/>
        </w:rPr>
      </w:pPr>
    </w:p>
    <w:p w:rsidR="00A46AE5" w:rsidRPr="00A46AE5" w:rsidRDefault="00A46AE5" w:rsidP="00A46AE5">
      <w:pPr>
        <w:spacing w:line="276" w:lineRule="auto"/>
        <w:jc w:val="center"/>
        <w:rPr>
          <w:rFonts w:ascii="Calibri" w:eastAsia="Calibri" w:hAnsi="Calibri" w:cs="Helvetica"/>
          <w:color w:val="2C2C2C"/>
          <w:sz w:val="22"/>
          <w:szCs w:val="22"/>
          <w:shd w:val="clear" w:color="auto" w:fill="FFFFFF"/>
        </w:rPr>
      </w:pP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b/>
          <w:color w:val="002060"/>
          <w:sz w:val="26"/>
          <w:szCs w:val="26"/>
        </w:rPr>
      </w:pPr>
      <w:r w:rsidRPr="00A46AE5">
        <w:rPr>
          <w:rFonts w:ascii="Calibri" w:eastAsia="Calibri" w:hAnsi="Calibri"/>
          <w:b/>
          <w:color w:val="002060"/>
          <w:sz w:val="26"/>
          <w:szCs w:val="26"/>
        </w:rPr>
        <w:t xml:space="preserve">Premie motywacyjne 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 xml:space="preserve">Premie motywacyjne są wypłacane w gotówce za wyniki z roku poprzedzającego wypłatę. Mają motywować do osiągania określonych celów krótkoterminowych. Oceniając wyniki dyrektorów wykonawczych za 2016 rok komitet ds. wynagrodzeń zdecydował się przyznać premie w wysokości od 131 do 160% ich docelowej wysokości. W tabeli 2. podsumowującej wynagrodzenia top menedżerów wliczono je w kolumnę „plany motywacyjne nieoparte na własności akcji”.  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</w:rPr>
      </w:pPr>
    </w:p>
    <w:p w:rsidR="00EC3321" w:rsidRDefault="00A46AE5" w:rsidP="00A46AE5">
      <w:pPr>
        <w:spacing w:line="276" w:lineRule="auto"/>
        <w:jc w:val="center"/>
        <w:rPr>
          <w:rFonts w:ascii="Calibri" w:eastAsia="Calibri" w:hAnsi="Calibri"/>
          <w:b/>
          <w:color w:val="002060"/>
        </w:rPr>
      </w:pPr>
      <w:r w:rsidRPr="00A46AE5">
        <w:rPr>
          <w:rFonts w:ascii="Calibri" w:eastAsia="Calibri" w:hAnsi="Calibri"/>
          <w:b/>
          <w:color w:val="002060"/>
        </w:rPr>
        <w:t xml:space="preserve">Tabela 1. Wysokość rocznych premii motywacyjnych </w:t>
      </w:r>
    </w:p>
    <w:p w:rsidR="00A46AE5" w:rsidRPr="00A46AE5" w:rsidRDefault="00A46AE5" w:rsidP="00A46AE5">
      <w:pPr>
        <w:spacing w:line="276" w:lineRule="auto"/>
        <w:jc w:val="center"/>
        <w:rPr>
          <w:rFonts w:ascii="Calibri" w:eastAsia="Calibri" w:hAnsi="Calibri"/>
          <w:b/>
          <w:color w:val="002060"/>
        </w:rPr>
      </w:pPr>
      <w:r w:rsidRPr="00A46AE5">
        <w:rPr>
          <w:rFonts w:ascii="Calibri" w:eastAsia="Calibri" w:hAnsi="Calibri"/>
          <w:b/>
          <w:color w:val="002060"/>
        </w:rPr>
        <w:t>za 2016 rok w Johnson &amp; Johnson</w:t>
      </w:r>
    </w:p>
    <w:tbl>
      <w:tblPr>
        <w:tblW w:w="382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2268"/>
      </w:tblGrid>
      <w:tr w:rsidR="00A46AE5" w:rsidRPr="00A46AE5" w:rsidTr="00E02B72">
        <w:trPr>
          <w:trHeight w:val="948"/>
          <w:jc w:val="center"/>
        </w:trPr>
        <w:tc>
          <w:tcPr>
            <w:tcW w:w="156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b/>
                <w:bCs/>
                <w:color w:val="404040"/>
                <w:lang w:eastAsia="pl-PL"/>
              </w:rPr>
            </w:pPr>
            <w:bookmarkStart w:id="1" w:name="_Hlk498415139"/>
            <w:r w:rsidRPr="00A46AE5">
              <w:rPr>
                <w:rFonts w:ascii="Calibri" w:hAnsi="Calibri" w:cs="Calibri"/>
                <w:b/>
                <w:bCs/>
                <w:color w:val="40404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b/>
                <w:bCs/>
                <w:color w:val="404040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404040"/>
                <w:lang w:eastAsia="pl-PL"/>
              </w:rPr>
              <w:t xml:space="preserve">roczna premia motywacyjna (USD) </w:t>
            </w:r>
          </w:p>
        </w:tc>
      </w:tr>
      <w:tr w:rsidR="00A46AE5" w:rsidRPr="00A46AE5" w:rsidTr="00E02B72">
        <w:trPr>
          <w:trHeight w:val="454"/>
          <w:jc w:val="center"/>
        </w:trPr>
        <w:tc>
          <w:tcPr>
            <w:tcW w:w="1560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both"/>
              <w:rPr>
                <w:rFonts w:ascii="Calibri" w:hAnsi="Calibri" w:cs="Calibri"/>
                <w:color w:val="595959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lang w:eastAsia="pl-PL"/>
              </w:rPr>
              <w:t>A. Gorsky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lang w:eastAsia="pl-PL"/>
              </w:rPr>
              <w:t>1 600 000</w:t>
            </w:r>
          </w:p>
        </w:tc>
      </w:tr>
      <w:tr w:rsidR="00A46AE5" w:rsidRPr="00A46AE5" w:rsidTr="00E02B72">
        <w:trPr>
          <w:trHeight w:val="454"/>
          <w:jc w:val="center"/>
        </w:trPr>
        <w:tc>
          <w:tcPr>
            <w:tcW w:w="1560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both"/>
              <w:rPr>
                <w:rFonts w:ascii="Calibri" w:hAnsi="Calibri" w:cs="Calibri"/>
                <w:color w:val="595959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lang w:eastAsia="pl-PL"/>
              </w:rPr>
              <w:t>D. Caruso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lang w:eastAsia="pl-PL"/>
              </w:rPr>
              <w:t>909 500</w:t>
            </w:r>
          </w:p>
        </w:tc>
      </w:tr>
      <w:tr w:rsidR="00A46AE5" w:rsidRPr="00A46AE5" w:rsidTr="00E02B72">
        <w:trPr>
          <w:trHeight w:val="454"/>
          <w:jc w:val="center"/>
        </w:trPr>
        <w:tc>
          <w:tcPr>
            <w:tcW w:w="1560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both"/>
              <w:rPr>
                <w:rFonts w:ascii="Calibri" w:hAnsi="Calibri" w:cs="Calibri"/>
                <w:color w:val="595959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lang w:eastAsia="pl-PL"/>
              </w:rPr>
              <w:t>P. Stoffels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lang w:eastAsia="pl-PL"/>
              </w:rPr>
              <w:t>1 144 000</w:t>
            </w:r>
          </w:p>
        </w:tc>
      </w:tr>
      <w:tr w:rsidR="00A46AE5" w:rsidRPr="00A46AE5" w:rsidTr="00E02B72">
        <w:trPr>
          <w:trHeight w:val="454"/>
          <w:jc w:val="center"/>
        </w:trPr>
        <w:tc>
          <w:tcPr>
            <w:tcW w:w="1560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both"/>
              <w:rPr>
                <w:rFonts w:ascii="Calibri" w:hAnsi="Calibri" w:cs="Calibri"/>
                <w:color w:val="595959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lang w:eastAsia="pl-PL"/>
              </w:rPr>
              <w:t>S. Peterson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lang w:eastAsia="pl-PL"/>
              </w:rPr>
              <w:t>963 462</w:t>
            </w:r>
          </w:p>
        </w:tc>
      </w:tr>
      <w:tr w:rsidR="00A46AE5" w:rsidRPr="00A46AE5" w:rsidTr="00E02B72">
        <w:trPr>
          <w:trHeight w:val="454"/>
          <w:jc w:val="center"/>
        </w:trPr>
        <w:tc>
          <w:tcPr>
            <w:tcW w:w="1560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both"/>
              <w:rPr>
                <w:rFonts w:ascii="Calibri" w:hAnsi="Calibri" w:cs="Calibri"/>
                <w:color w:val="595959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lang w:eastAsia="pl-PL"/>
              </w:rPr>
              <w:t>J. Duato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lang w:eastAsia="pl-PL"/>
              </w:rPr>
              <w:t>875 000</w:t>
            </w:r>
          </w:p>
        </w:tc>
      </w:tr>
    </w:tbl>
    <w:bookmarkEnd w:id="1"/>
    <w:p w:rsidR="00A46AE5" w:rsidRPr="00A46AE5" w:rsidRDefault="00A46AE5" w:rsidP="00A46AE5">
      <w:pPr>
        <w:spacing w:line="276" w:lineRule="auto"/>
        <w:jc w:val="center"/>
        <w:rPr>
          <w:rFonts w:ascii="Calibri" w:eastAsia="Calibri" w:hAnsi="Calibri"/>
          <w:i/>
        </w:rPr>
      </w:pPr>
      <w:r w:rsidRPr="00A46AE5">
        <w:rPr>
          <w:rFonts w:ascii="Calibri" w:eastAsia="Calibri" w:hAnsi="Calibri"/>
          <w:i/>
          <w:sz w:val="20"/>
          <w:szCs w:val="20"/>
        </w:rPr>
        <w:t xml:space="preserve">Opracowanie Sedlak </w:t>
      </w:r>
      <w:r w:rsidRPr="00A46AE5">
        <w:rPr>
          <w:rFonts w:ascii="Calibri" w:eastAsia="Calibri" w:hAnsi="Calibri"/>
          <w:i/>
          <w:sz w:val="16"/>
          <w:szCs w:val="16"/>
        </w:rPr>
        <w:t>&amp;</w:t>
      </w:r>
      <w:r w:rsidRPr="00A46AE5">
        <w:rPr>
          <w:rFonts w:ascii="Calibri" w:eastAsia="Calibri" w:hAnsi="Calibri"/>
          <w:i/>
          <w:sz w:val="20"/>
          <w:szCs w:val="20"/>
        </w:rPr>
        <w:t xml:space="preserve"> Sedlak na podstawie Johnson &amp; Johnson Proxy Statement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i/>
        </w:rPr>
      </w:pP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b/>
          <w:color w:val="002060"/>
          <w:sz w:val="26"/>
          <w:szCs w:val="26"/>
        </w:rPr>
      </w:pP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b/>
          <w:color w:val="002060"/>
          <w:sz w:val="26"/>
          <w:szCs w:val="26"/>
        </w:rPr>
      </w:pPr>
      <w:r w:rsidRPr="00A46AE5">
        <w:rPr>
          <w:rFonts w:ascii="Calibri" w:eastAsia="Calibri" w:hAnsi="Calibri"/>
          <w:b/>
          <w:color w:val="002060"/>
          <w:sz w:val="26"/>
          <w:szCs w:val="26"/>
        </w:rPr>
        <w:t>Wynagrodzenie kapitałowe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>Jest to główna składowa pakietu wynagrodzeń dyrektorów wykonawczych i CEO. Przyznaje się je na podstawie wyników biznesowych i indywidualnych, oceny wkładu pracy oraz długoterminowego potencjału danego menedżera. Jego głównym celem jest motywowanie do wykonania celów długoterminowych, ma także znaczenie retencyjne. Dodatkowo ta forma wynagradzania wiąże interesy kadry zarządzającej z interesami akcjonariuszy. W jego skład wchodzą następujące instrumenty finansowe:</w:t>
      </w:r>
    </w:p>
    <w:p w:rsidR="00A46AE5" w:rsidRPr="00A46AE5" w:rsidRDefault="00A46AE5" w:rsidP="00A46AE5">
      <w:pPr>
        <w:numPr>
          <w:ilvl w:val="0"/>
          <w:numId w:val="25"/>
        </w:numPr>
        <w:spacing w:after="160" w:line="276" w:lineRule="auto"/>
        <w:contextualSpacing/>
        <w:jc w:val="both"/>
        <w:rPr>
          <w:rFonts w:ascii="Calibri" w:eastAsia="Calibri" w:hAnsi="Calibri"/>
          <w:i/>
        </w:rPr>
      </w:pPr>
      <w:r w:rsidRPr="00A46AE5">
        <w:rPr>
          <w:rFonts w:ascii="Calibri" w:eastAsia="Calibri" w:hAnsi="Calibri"/>
          <w:b/>
        </w:rPr>
        <w:lastRenderedPageBreak/>
        <w:t>PSU</w:t>
      </w:r>
      <w:r w:rsidRPr="00A46AE5">
        <w:rPr>
          <w:rFonts w:ascii="Calibri" w:eastAsia="Calibri" w:hAnsi="Calibri"/>
          <w:i/>
        </w:rPr>
        <w:t xml:space="preserve"> (Performance  Share Units) – </w:t>
      </w:r>
      <w:r w:rsidRPr="00A46AE5">
        <w:rPr>
          <w:rFonts w:ascii="Calibri" w:eastAsia="Calibri" w:hAnsi="Calibri"/>
        </w:rPr>
        <w:t>jednostki udziałowe, ich otrzymanie jest ściśle powiązane z wynikami i osiągnięciem wyznaczonych celów przez menedżerów; są przyznawane i wymieniane na akcje w trzyletnich cyklach; sposób ich przyznawania ma odzwierciedlać główne cele długoterminowe firmy: wzrost sprzedaży większy niż u konkurencji, a wzrost zysku szybszy niż wzrost sprzedaży;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i/>
        </w:rPr>
      </w:pPr>
    </w:p>
    <w:p w:rsidR="00A46AE5" w:rsidRPr="00A46AE5" w:rsidRDefault="00A46AE5" w:rsidP="00A46AE5">
      <w:pPr>
        <w:spacing w:line="276" w:lineRule="auto"/>
        <w:ind w:left="720"/>
        <w:jc w:val="center"/>
        <w:rPr>
          <w:rFonts w:ascii="Calibri" w:eastAsia="Calibri" w:hAnsi="Calibri"/>
          <w:b/>
          <w:color w:val="002060"/>
        </w:rPr>
      </w:pPr>
      <w:r w:rsidRPr="00A46AE5">
        <w:rPr>
          <w:rFonts w:ascii="Calibri" w:eastAsia="Calibri" w:hAnsi="Calibri"/>
          <w:b/>
          <w:color w:val="002060"/>
        </w:rPr>
        <w:t xml:space="preserve">Schemat 1. Sposób obliczania ilości przyznanych PSU </w:t>
      </w:r>
    </w:p>
    <w:p w:rsidR="00A46AE5" w:rsidRPr="00A46AE5" w:rsidRDefault="00A46AE5" w:rsidP="00A46AE5">
      <w:pPr>
        <w:spacing w:line="276" w:lineRule="auto"/>
        <w:ind w:left="720"/>
        <w:jc w:val="center"/>
        <w:rPr>
          <w:rFonts w:ascii="Calibri" w:eastAsia="Calibri" w:hAnsi="Calibri"/>
          <w:b/>
          <w:color w:val="002060"/>
        </w:rPr>
      </w:pPr>
      <w:r w:rsidRPr="00A46AE5">
        <w:rPr>
          <w:rFonts w:ascii="Calibri" w:eastAsia="Calibri" w:hAnsi="Calibri"/>
          <w:b/>
          <w:color w:val="002060"/>
        </w:rPr>
        <w:t>w pakiecie wynagrodzenia kapitałowego za 2016 rok w Johnson &amp; Johnson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i/>
        </w:rPr>
      </w:pPr>
      <w:r w:rsidRPr="00A46AE5">
        <w:rPr>
          <w:rFonts w:ascii="Calibri" w:eastAsia="Calibri" w:hAnsi="Calibri"/>
          <w:i/>
          <w:noProof/>
          <w:lang w:eastAsia="pl-PL"/>
        </w:rPr>
        <w:drawing>
          <wp:inline distT="0" distB="0" distL="0" distR="0" wp14:anchorId="17C615D1" wp14:editId="253FBE15">
            <wp:extent cx="5973445" cy="864578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5362" cy="909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AE5" w:rsidRPr="00A46AE5" w:rsidRDefault="00A46AE5" w:rsidP="00A46AE5">
      <w:pPr>
        <w:spacing w:line="276" w:lineRule="auto"/>
        <w:jc w:val="center"/>
        <w:rPr>
          <w:rFonts w:ascii="Calibri" w:eastAsia="Calibri" w:hAnsi="Calibri"/>
          <w:i/>
        </w:rPr>
      </w:pPr>
      <w:r w:rsidRPr="00A46AE5">
        <w:rPr>
          <w:rFonts w:ascii="Calibri" w:eastAsia="Calibri" w:hAnsi="Calibri"/>
          <w:i/>
          <w:sz w:val="22"/>
          <w:szCs w:val="22"/>
        </w:rPr>
        <w:t xml:space="preserve">Opracowanie Sedlak </w:t>
      </w:r>
      <w:r w:rsidRPr="00A46AE5">
        <w:rPr>
          <w:rFonts w:ascii="Calibri" w:eastAsia="Calibri" w:hAnsi="Calibri"/>
          <w:i/>
          <w:sz w:val="16"/>
          <w:szCs w:val="16"/>
        </w:rPr>
        <w:t>&amp;</w:t>
      </w:r>
      <w:r w:rsidRPr="00A46AE5">
        <w:rPr>
          <w:rFonts w:ascii="Calibri" w:eastAsia="Calibri" w:hAnsi="Calibri"/>
          <w:i/>
          <w:sz w:val="22"/>
          <w:szCs w:val="22"/>
        </w:rPr>
        <w:t xml:space="preserve"> Sedlak na podstawie Johnson &amp; Johnson Proxy Statement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i/>
        </w:rPr>
      </w:pP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i/>
        </w:rPr>
      </w:pPr>
    </w:p>
    <w:p w:rsidR="00A46AE5" w:rsidRPr="00A46AE5" w:rsidRDefault="00A46AE5" w:rsidP="00A46AE5">
      <w:pPr>
        <w:numPr>
          <w:ilvl w:val="0"/>
          <w:numId w:val="25"/>
        </w:numPr>
        <w:spacing w:after="160" w:line="276" w:lineRule="auto"/>
        <w:contextualSpacing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  <w:b/>
        </w:rPr>
        <w:t>RSU</w:t>
      </w:r>
      <w:r w:rsidRPr="00A46AE5">
        <w:rPr>
          <w:rFonts w:ascii="Calibri" w:eastAsia="Calibri" w:hAnsi="Calibri"/>
        </w:rPr>
        <w:t xml:space="preserve"> (</w:t>
      </w:r>
      <w:r w:rsidRPr="00A46AE5">
        <w:rPr>
          <w:rFonts w:ascii="Calibri" w:eastAsia="Calibri" w:hAnsi="Calibri"/>
          <w:i/>
        </w:rPr>
        <w:t>Restricted Share Units</w:t>
      </w:r>
      <w:r w:rsidRPr="00A46AE5">
        <w:rPr>
          <w:rFonts w:ascii="Calibri" w:eastAsia="Calibri" w:hAnsi="Calibri"/>
        </w:rPr>
        <w:t xml:space="preserve">) – jednostki udziałowe, otrzymywane przez menedżerów zamieniane na akcje w 100 % po trzech latach; ich wartość jest ściśle powiązana z ceną akcji; </w:t>
      </w:r>
    </w:p>
    <w:p w:rsidR="00A46AE5" w:rsidRPr="00A46AE5" w:rsidRDefault="00A46AE5" w:rsidP="00A46AE5">
      <w:pPr>
        <w:numPr>
          <w:ilvl w:val="0"/>
          <w:numId w:val="25"/>
        </w:numPr>
        <w:spacing w:after="160" w:line="276" w:lineRule="auto"/>
        <w:contextualSpacing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  <w:b/>
        </w:rPr>
        <w:t>opcje na akcje</w:t>
      </w:r>
      <w:r w:rsidRPr="00A46AE5">
        <w:rPr>
          <w:rFonts w:ascii="Calibri" w:eastAsia="Calibri" w:hAnsi="Calibri"/>
        </w:rPr>
        <w:t xml:space="preserve"> – są zamieniane na akcje po spełnieniu określonych celów długoterminowych, w 100% po trzech latach, wygasają po 10 latach;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</w:rPr>
      </w:pPr>
    </w:p>
    <w:p w:rsidR="00A46AE5" w:rsidRPr="00A46AE5" w:rsidRDefault="00A46AE5" w:rsidP="00A46AE5">
      <w:pPr>
        <w:spacing w:line="276" w:lineRule="auto"/>
        <w:ind w:left="720"/>
        <w:jc w:val="center"/>
        <w:rPr>
          <w:rFonts w:ascii="Calibri" w:eastAsia="Calibri" w:hAnsi="Calibri"/>
          <w:b/>
          <w:color w:val="002060"/>
        </w:rPr>
      </w:pPr>
      <w:r w:rsidRPr="00A46AE5">
        <w:rPr>
          <w:rFonts w:ascii="Calibri" w:eastAsia="Calibri" w:hAnsi="Calibri"/>
          <w:b/>
          <w:color w:val="002060"/>
        </w:rPr>
        <w:t>Schemat 2. Skład pakietu wynagrodzenia</w:t>
      </w:r>
    </w:p>
    <w:p w:rsidR="00A46AE5" w:rsidRPr="00A46AE5" w:rsidRDefault="00A46AE5" w:rsidP="00A46AE5">
      <w:pPr>
        <w:spacing w:line="276" w:lineRule="auto"/>
        <w:ind w:left="720"/>
        <w:jc w:val="center"/>
        <w:rPr>
          <w:rFonts w:ascii="Calibri" w:eastAsia="Calibri" w:hAnsi="Calibri"/>
          <w:b/>
          <w:color w:val="002060"/>
        </w:rPr>
      </w:pPr>
      <w:r w:rsidRPr="00A46AE5">
        <w:rPr>
          <w:rFonts w:ascii="Calibri" w:eastAsia="Calibri" w:hAnsi="Calibri"/>
          <w:b/>
          <w:color w:val="002060"/>
        </w:rPr>
        <w:t xml:space="preserve"> kapitałowego za 2016 rok w Johnson &amp; Johnson</w:t>
      </w:r>
    </w:p>
    <w:p w:rsidR="00A46AE5" w:rsidRPr="00A46AE5" w:rsidRDefault="00A46AE5" w:rsidP="00A46AE5">
      <w:pPr>
        <w:spacing w:after="160" w:line="259" w:lineRule="auto"/>
        <w:jc w:val="center"/>
        <w:rPr>
          <w:rFonts w:ascii="Calibri" w:eastAsia="Calibri" w:hAnsi="Calibri"/>
          <w:i/>
          <w:sz w:val="20"/>
          <w:szCs w:val="20"/>
        </w:rPr>
      </w:pPr>
      <w:r w:rsidRPr="00A46AE5">
        <w:rPr>
          <w:rFonts w:ascii="Calibri" w:eastAsia="Calibri" w:hAnsi="Calibri"/>
          <w:i/>
          <w:noProof/>
          <w:sz w:val="20"/>
          <w:szCs w:val="20"/>
          <w:lang w:eastAsia="pl-PL"/>
        </w:rPr>
        <w:drawing>
          <wp:inline distT="0" distB="0" distL="0" distR="0" wp14:anchorId="196BE63A" wp14:editId="5B6BF431">
            <wp:extent cx="5760720" cy="990600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6AE5">
        <w:rPr>
          <w:rFonts w:ascii="Calibri" w:eastAsia="Calibri" w:hAnsi="Calibri"/>
          <w:i/>
          <w:sz w:val="20"/>
          <w:szCs w:val="20"/>
        </w:rPr>
        <w:t xml:space="preserve"> Opracowanie Sedlak </w:t>
      </w:r>
      <w:r w:rsidRPr="00A46AE5">
        <w:rPr>
          <w:rFonts w:ascii="Calibri" w:eastAsia="Calibri" w:hAnsi="Calibri"/>
          <w:i/>
          <w:sz w:val="16"/>
          <w:szCs w:val="16"/>
        </w:rPr>
        <w:t>&amp;</w:t>
      </w:r>
      <w:r w:rsidRPr="00A46AE5">
        <w:rPr>
          <w:rFonts w:ascii="Calibri" w:eastAsia="Calibri" w:hAnsi="Calibri"/>
          <w:i/>
          <w:sz w:val="20"/>
          <w:szCs w:val="20"/>
        </w:rPr>
        <w:t xml:space="preserve"> Sedlak na podstawie Johnson &amp; Johnson Proxy Statement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</w:rPr>
      </w:pP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</w:rPr>
      </w:pP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</w:rPr>
      </w:pPr>
      <w:r w:rsidRPr="00A46AE5">
        <w:rPr>
          <w:rFonts w:ascii="Calibri" w:eastAsia="Calibri" w:hAnsi="Calibri"/>
        </w:rPr>
        <w:t xml:space="preserve">Zgodnie z zasadami panującymi w koncernie CEO powinien posiadać akcje o wartości sześciokrotności jego pensji zasadniczej, a pozostali dyrektorzy wykonawczy – trzykrotności. Ma to lepiej powiązać ich interesy z interesami akcjonariuszy. Wszyscy opisani w </w:t>
      </w:r>
      <w:r w:rsidRPr="00A46AE5">
        <w:rPr>
          <w:rFonts w:ascii="Calibri" w:eastAsia="Calibri" w:hAnsi="Calibri"/>
          <w:i/>
        </w:rPr>
        <w:t>proxy</w:t>
      </w:r>
      <w:r w:rsidRPr="00A46AE5">
        <w:rPr>
          <w:rFonts w:ascii="Calibri" w:eastAsia="Calibri" w:hAnsi="Calibri"/>
        </w:rPr>
        <w:t xml:space="preserve"> top menedżerowie spełniają te wymogi.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</w:rPr>
      </w:pP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b/>
          <w:color w:val="002060"/>
          <w:sz w:val="26"/>
          <w:szCs w:val="26"/>
        </w:rPr>
      </w:pPr>
      <w:r w:rsidRPr="00A46AE5">
        <w:rPr>
          <w:rFonts w:ascii="Calibri" w:eastAsia="Calibri" w:hAnsi="Calibri"/>
          <w:b/>
          <w:color w:val="002060"/>
          <w:sz w:val="26"/>
          <w:szCs w:val="26"/>
        </w:rPr>
        <w:t>Benefity i inne formy wynagrodzenia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i/>
        </w:rPr>
      </w:pPr>
      <w:r w:rsidRPr="00A46AE5">
        <w:rPr>
          <w:rFonts w:ascii="Calibri" w:eastAsia="Calibri" w:hAnsi="Calibri"/>
        </w:rPr>
        <w:lastRenderedPageBreak/>
        <w:t>Dyrektorzy koncernu korzystają z dodatkowych planów emerytalnych, oszczędnościowych i ubezpieczeń zdrowotnych oraz na życie. Większość z nich korzysta ze służbowego odrzutowca czy służbowego auta z kierowcą, a CEO także z usług ochrony swojej posiadłości. Wartość tych benefitów dla CEO – Alexa Gorsky’ego wyniosła w 2016 roku blisko 150 tys. USD. Nieco mniej warte były podróże CFO – Dominica Caruso – 60,8 tys. USD. Top menedżerom firma pokrywa również koszty ich ewentualnej relokacji. Pod względem wartości otrzymywanych benefitów wygrywa jednak Paulus Stoeffels. Chief Scientific Officer Johnson &amp; Johnson otrzymał łącznie blisko 380 tys. USD w 2016 roku. Przebywa on na stałe w Belgii i chociaż nie jest rezydentem USA, zgodnie z jego kontraktem tak przez firmę jest traktowany. W związku z tym, otrzymuje 320 tys. USD benefitu w formie dopłaty do płaconych przez niego w Belgii podatków.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i/>
        </w:rPr>
      </w:pP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b/>
          <w:color w:val="002060"/>
          <w:sz w:val="26"/>
          <w:szCs w:val="26"/>
        </w:rPr>
      </w:pPr>
      <w:r w:rsidRPr="00A46AE5">
        <w:rPr>
          <w:rFonts w:ascii="Calibri" w:eastAsia="Calibri" w:hAnsi="Calibri"/>
          <w:b/>
          <w:color w:val="002060"/>
          <w:sz w:val="26"/>
          <w:szCs w:val="26"/>
        </w:rPr>
        <w:t>Ile zarabiają dyrektorzy Johnson &amp; Johnson?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i/>
          <w:sz w:val="22"/>
          <w:szCs w:val="22"/>
        </w:rPr>
      </w:pPr>
      <w:r w:rsidRPr="00A46AE5">
        <w:rPr>
          <w:rFonts w:ascii="Calibri" w:eastAsia="Calibri" w:hAnsi="Calibri"/>
        </w:rPr>
        <w:t xml:space="preserve">CEO koncernu, Alex Gorsky zarobił w 2016 roku w sumie 26 871 720 USD. Z tego prawie 15 mln USD stanowiło wynagrodzenie w formie kapitałowej. Drugi w kolejności CSO Johnson &amp; Johnson – Paulus Stoeffels otrzymał roczne wynagrodzenie w wysokości blisko 13 mln USD, co dobrze obrazuje jak bardzo spółka stawia na badania i rozwój. Nieco mniej, bo 11,3 mln USD otrzymał CFO  – Dominic Caruso, o blisko 2 mln USD więcej niż rok wcześniej.    </w:t>
      </w:r>
    </w:p>
    <w:p w:rsidR="00A46AE5" w:rsidRPr="00A46AE5" w:rsidRDefault="00A46AE5" w:rsidP="00A46AE5">
      <w:pPr>
        <w:spacing w:line="276" w:lineRule="auto"/>
        <w:jc w:val="center"/>
        <w:rPr>
          <w:rFonts w:ascii="Calibri" w:eastAsia="Calibri" w:hAnsi="Calibri"/>
          <w:b/>
          <w:color w:val="002060"/>
        </w:rPr>
      </w:pPr>
    </w:p>
    <w:p w:rsidR="00A46AE5" w:rsidRPr="00A46AE5" w:rsidRDefault="00A46AE5" w:rsidP="00A46AE5">
      <w:pPr>
        <w:spacing w:line="276" w:lineRule="auto"/>
        <w:jc w:val="center"/>
        <w:rPr>
          <w:rFonts w:ascii="Calibri" w:eastAsia="Calibri" w:hAnsi="Calibri"/>
          <w:b/>
          <w:color w:val="002060"/>
        </w:rPr>
      </w:pPr>
      <w:r w:rsidRPr="00A46AE5">
        <w:rPr>
          <w:rFonts w:ascii="Calibri" w:eastAsia="Calibri" w:hAnsi="Calibri"/>
          <w:b/>
          <w:color w:val="002060"/>
        </w:rPr>
        <w:t>Tabela 2. Wynagrodzenia i ich wysokości dla najwyżej</w:t>
      </w:r>
    </w:p>
    <w:p w:rsidR="00A46AE5" w:rsidRPr="00A46AE5" w:rsidRDefault="00A46AE5" w:rsidP="00A46AE5">
      <w:pPr>
        <w:spacing w:line="276" w:lineRule="auto"/>
        <w:jc w:val="center"/>
        <w:rPr>
          <w:rFonts w:ascii="Calibri" w:eastAsia="Calibri" w:hAnsi="Calibri"/>
          <w:b/>
          <w:color w:val="002060"/>
        </w:rPr>
      </w:pPr>
      <w:r w:rsidRPr="00A46AE5">
        <w:rPr>
          <w:rFonts w:ascii="Calibri" w:eastAsia="Calibri" w:hAnsi="Calibri"/>
          <w:b/>
          <w:color w:val="002060"/>
        </w:rPr>
        <w:t>opłacanych dyrektorów Johnson &amp; Johnson w latach 2014-2016 (w USD)</w:t>
      </w:r>
    </w:p>
    <w:p w:rsidR="00A46AE5" w:rsidRPr="00A46AE5" w:rsidRDefault="00A46AE5" w:rsidP="00A46AE5">
      <w:pPr>
        <w:spacing w:line="276" w:lineRule="auto"/>
        <w:jc w:val="center"/>
        <w:rPr>
          <w:rFonts w:ascii="Calibri" w:eastAsia="Calibri" w:hAnsi="Calibri"/>
          <w:sz w:val="22"/>
          <w:szCs w:val="22"/>
        </w:rPr>
      </w:pPr>
    </w:p>
    <w:tbl>
      <w:tblPr>
        <w:tblW w:w="9966" w:type="dxa"/>
        <w:tblInd w:w="-8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8"/>
        <w:gridCol w:w="567"/>
        <w:gridCol w:w="1072"/>
        <w:gridCol w:w="1054"/>
        <w:gridCol w:w="1276"/>
        <w:gridCol w:w="1134"/>
        <w:gridCol w:w="1417"/>
        <w:gridCol w:w="1134"/>
        <w:gridCol w:w="1134"/>
      </w:tblGrid>
      <w:tr w:rsidR="00A46AE5" w:rsidRPr="00A46AE5" w:rsidTr="00EC3321">
        <w:trPr>
          <w:trHeight w:val="2568"/>
        </w:trPr>
        <w:tc>
          <w:tcPr>
            <w:tcW w:w="1178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Arial" w:hAnsi="Arial" w:cs="Arial"/>
                <w:b/>
                <w:bCs/>
                <w:color w:val="404040"/>
                <w:sz w:val="20"/>
                <w:szCs w:val="20"/>
                <w:lang w:eastAsia="pl-PL"/>
              </w:rPr>
            </w:pPr>
            <w:r w:rsidRPr="00A46AE5">
              <w:rPr>
                <w:rFonts w:ascii="Arial" w:hAnsi="Arial" w:cs="Arial"/>
                <w:b/>
                <w:bCs/>
                <w:color w:val="40404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b/>
                <w:bCs/>
                <w:color w:val="404040"/>
                <w:sz w:val="22"/>
                <w:szCs w:val="22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404040"/>
                <w:sz w:val="22"/>
                <w:szCs w:val="22"/>
                <w:lang w:eastAsia="pl-PL"/>
              </w:rPr>
              <w:t>rok</w:t>
            </w:r>
          </w:p>
        </w:tc>
        <w:tc>
          <w:tcPr>
            <w:tcW w:w="1072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b/>
                <w:bCs/>
                <w:color w:val="404040"/>
                <w:sz w:val="22"/>
                <w:szCs w:val="22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404040"/>
                <w:sz w:val="22"/>
                <w:szCs w:val="22"/>
                <w:lang w:eastAsia="pl-PL"/>
              </w:rPr>
              <w:t>wynagr. podstawowe</w:t>
            </w:r>
          </w:p>
        </w:tc>
        <w:tc>
          <w:tcPr>
            <w:tcW w:w="105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b/>
                <w:bCs/>
                <w:color w:val="404040"/>
                <w:sz w:val="22"/>
                <w:szCs w:val="22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404040"/>
                <w:sz w:val="22"/>
                <w:szCs w:val="22"/>
                <w:lang w:eastAsia="pl-PL"/>
              </w:rPr>
              <w:t>wartość akcji</w:t>
            </w:r>
          </w:p>
        </w:tc>
        <w:tc>
          <w:tcPr>
            <w:tcW w:w="1276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b/>
                <w:bCs/>
                <w:color w:val="404040"/>
                <w:sz w:val="22"/>
                <w:szCs w:val="22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404040"/>
                <w:sz w:val="22"/>
                <w:szCs w:val="22"/>
                <w:lang w:eastAsia="pl-PL"/>
              </w:rPr>
              <w:t>wartość opcji na akcje</w:t>
            </w:r>
          </w:p>
        </w:tc>
        <w:tc>
          <w:tcPr>
            <w:tcW w:w="113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b/>
                <w:bCs/>
                <w:color w:val="404040"/>
                <w:sz w:val="22"/>
                <w:szCs w:val="22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404040"/>
                <w:sz w:val="22"/>
                <w:szCs w:val="22"/>
                <w:lang w:eastAsia="pl-PL"/>
              </w:rPr>
              <w:t>plany motywacyjne nieoparte na wartości akcji</w:t>
            </w:r>
          </w:p>
        </w:tc>
        <w:tc>
          <w:tcPr>
            <w:tcW w:w="1417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b/>
                <w:bCs/>
                <w:color w:val="404040"/>
                <w:sz w:val="22"/>
                <w:szCs w:val="22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404040"/>
                <w:sz w:val="22"/>
                <w:szCs w:val="22"/>
                <w:lang w:eastAsia="pl-PL"/>
              </w:rPr>
              <w:t>zmiany wartości planu emerytalnego i dochody z wynagr. odroczonego niepodlegającego ulgom podatkowym</w:t>
            </w:r>
          </w:p>
        </w:tc>
        <w:tc>
          <w:tcPr>
            <w:tcW w:w="113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b/>
                <w:bCs/>
                <w:color w:val="404040"/>
                <w:sz w:val="22"/>
                <w:szCs w:val="22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404040"/>
                <w:sz w:val="22"/>
                <w:szCs w:val="22"/>
                <w:lang w:eastAsia="pl-PL"/>
              </w:rPr>
              <w:t>wszystkie inne formy wynagrodzenia niewymienione wcześniej</w:t>
            </w:r>
          </w:p>
        </w:tc>
        <w:tc>
          <w:tcPr>
            <w:tcW w:w="113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2"/>
                <w:szCs w:val="22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FF7900"/>
                <w:sz w:val="22"/>
                <w:szCs w:val="22"/>
                <w:lang w:eastAsia="pl-PL"/>
              </w:rPr>
              <w:t>łączna wartość dochodów</w:t>
            </w:r>
          </w:p>
        </w:tc>
      </w:tr>
      <w:tr w:rsidR="00EC3321" w:rsidRPr="00A46AE5" w:rsidTr="00EC3321">
        <w:trPr>
          <w:trHeight w:val="303"/>
        </w:trPr>
        <w:tc>
          <w:tcPr>
            <w:tcW w:w="11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b/>
                <w:bCs/>
                <w:color w:val="595959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595959"/>
                <w:lang w:eastAsia="pl-PL"/>
              </w:rPr>
              <w:t>Alex Gorsky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2016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1 600 000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10 608 901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4 118 398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4 652 556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5 663 771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228 094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  <w:t>26 871 720</w:t>
            </w:r>
          </w:p>
        </w:tc>
      </w:tr>
      <w:tr w:rsidR="00EC3321" w:rsidRPr="00A46AE5" w:rsidTr="00EC3321">
        <w:trPr>
          <w:trHeight w:val="805"/>
        </w:trPr>
        <w:tc>
          <w:tcPr>
            <w:tcW w:w="11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  <w:t>Chief Executive Officer and Chairman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1 613 462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10 963 427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4 562 998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4 009 536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2 714 268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202 175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  <w:t>23 795 866</w:t>
            </w:r>
          </w:p>
        </w:tc>
      </w:tr>
      <w:tr w:rsidR="00EC3321" w:rsidRPr="00A46AE5" w:rsidTr="00EC3321">
        <w:trPr>
          <w:trHeight w:val="291"/>
        </w:trPr>
        <w:tc>
          <w:tcPr>
            <w:tcW w:w="1178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46AE5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2014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1 500 000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9 467 380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4 168 139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5 018 779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4 606 142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228 866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  <w:t>24 989 306</w:t>
            </w:r>
          </w:p>
        </w:tc>
      </w:tr>
      <w:tr w:rsidR="00EC3321" w:rsidRPr="00A46AE5" w:rsidTr="00EC3321">
        <w:trPr>
          <w:trHeight w:val="607"/>
        </w:trPr>
        <w:tc>
          <w:tcPr>
            <w:tcW w:w="1178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b/>
                <w:bCs/>
                <w:color w:val="595959"/>
                <w:lang w:val="en-GB"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595959"/>
                <w:lang w:val="en-GB" w:eastAsia="pl-PL"/>
              </w:rPr>
              <w:lastRenderedPageBreak/>
              <w:t>Dominic Caruso</w:t>
            </w:r>
          </w:p>
          <w:p w:rsidR="00A46AE5" w:rsidRPr="00A46AE5" w:rsidRDefault="00A46AE5" w:rsidP="00A46AE5">
            <w:pPr>
              <w:rPr>
                <w:rFonts w:ascii="Calibri" w:hAnsi="Calibri" w:cs="Calibri"/>
                <w:color w:val="000000"/>
                <w:sz w:val="22"/>
                <w:szCs w:val="22"/>
                <w:lang w:val="en-GB"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  <w:t>Executive Vice President, Chief Financial Officer</w:t>
            </w:r>
          </w:p>
          <w:p w:rsidR="00A46AE5" w:rsidRPr="00A46AE5" w:rsidRDefault="00A46AE5" w:rsidP="00A46AE5">
            <w:pPr>
              <w:rPr>
                <w:rFonts w:ascii="Calibri" w:hAnsi="Calibri" w:cs="Calibri"/>
                <w:b/>
                <w:bCs/>
                <w:color w:val="595959"/>
                <w:lang w:val="en-GB" w:eastAsia="pl-PL"/>
              </w:rPr>
            </w:pPr>
            <w:r w:rsidRPr="00A46AE5">
              <w:rPr>
                <w:rFonts w:ascii="Calibri" w:hAnsi="Calibri" w:cs="Calibri"/>
                <w:color w:val="000000"/>
                <w:sz w:val="22"/>
                <w:szCs w:val="22"/>
                <w:lang w:val="en-GB"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2016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909 500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3 624 523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1 425 643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2 758 967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2 475 956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110 240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  <w:t>11 304 829</w:t>
            </w:r>
          </w:p>
        </w:tc>
      </w:tr>
      <w:tr w:rsidR="00EC3321" w:rsidRPr="00A46AE5" w:rsidTr="00EC3321">
        <w:trPr>
          <w:trHeight w:val="852"/>
        </w:trPr>
        <w:tc>
          <w:tcPr>
            <w:tcW w:w="117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000000"/>
                <w:sz w:val="22"/>
                <w:szCs w:val="22"/>
                <w:lang w:val="en-GB"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922 577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3 497 099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1 458 603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2 772 796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925 536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112 789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  <w:t>9 869 400</w:t>
            </w:r>
          </w:p>
        </w:tc>
      </w:tr>
      <w:tr w:rsidR="00EC3321" w:rsidRPr="00A46AE5" w:rsidTr="00EC3321">
        <w:trPr>
          <w:trHeight w:val="291"/>
        </w:trPr>
        <w:tc>
          <w:tcPr>
            <w:tcW w:w="1178" w:type="dxa"/>
            <w:vMerge/>
            <w:tcBorders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2014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878 115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3 271 853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1 332 376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3 234 152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1 511 238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121 299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  <w:t>10 349 033</w:t>
            </w:r>
          </w:p>
        </w:tc>
      </w:tr>
      <w:tr w:rsidR="00EC3321" w:rsidRPr="00A46AE5" w:rsidTr="00EC3321">
        <w:trPr>
          <w:trHeight w:val="607"/>
        </w:trPr>
        <w:tc>
          <w:tcPr>
            <w:tcW w:w="11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b/>
                <w:bCs/>
                <w:color w:val="595959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595959"/>
                <w:lang w:eastAsia="pl-PL"/>
              </w:rPr>
              <w:t>Paulus Stoffels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2016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1 144 000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483 454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1 750 317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2 425 461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2 642 012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380 232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  <w:t>12 725 476</w:t>
            </w:r>
          </w:p>
        </w:tc>
      </w:tr>
      <w:tr w:rsidR="00EC3321" w:rsidRPr="00A46AE5" w:rsidTr="00EC3321">
        <w:trPr>
          <w:trHeight w:val="805"/>
        </w:trPr>
        <w:tc>
          <w:tcPr>
            <w:tcW w:w="11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  <w:t>Executive Vice President, Chief Science Officer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1 158 385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4 208 874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1 823 246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2 172 098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1 022 024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401 118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  <w:t>10 785 745</w:t>
            </w:r>
          </w:p>
        </w:tc>
      </w:tr>
      <w:tr w:rsidR="00EC3321" w:rsidRPr="00A46AE5" w:rsidTr="00EC3321">
        <w:trPr>
          <w:trHeight w:val="291"/>
        </w:trPr>
        <w:tc>
          <w:tcPr>
            <w:tcW w:w="1178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2014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1 075 423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10 960 520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1 307 669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2 573 450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2267167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425 088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  <w:t>18 339 317</w:t>
            </w:r>
          </w:p>
        </w:tc>
      </w:tr>
      <w:tr w:rsidR="00EC3321" w:rsidRPr="00A46AE5" w:rsidTr="00EC3321">
        <w:trPr>
          <w:trHeight w:val="607"/>
        </w:trPr>
        <w:tc>
          <w:tcPr>
            <w:tcW w:w="11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b/>
                <w:bCs/>
                <w:color w:val="595959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595959"/>
                <w:lang w:eastAsia="pl-PL"/>
              </w:rPr>
              <w:t>Sandra Peterson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2016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963 462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3 987 074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1 539 002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1 600 000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592 000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141 246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  <w:t>8 732 784</w:t>
            </w:r>
          </w:p>
        </w:tc>
      </w:tr>
      <w:tr w:rsidR="00EC3321" w:rsidRPr="00A46AE5" w:rsidTr="00EC3321">
        <w:trPr>
          <w:trHeight w:val="1074"/>
        </w:trPr>
        <w:tc>
          <w:tcPr>
            <w:tcW w:w="11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  <w:t>Executive Vice President, Group Worldwide Chairman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908 654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3 504 177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1 574 621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1 125 000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367 000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147 000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  <w:t>7 626 452</w:t>
            </w:r>
          </w:p>
        </w:tc>
      </w:tr>
      <w:tr w:rsidR="00EC3321" w:rsidRPr="00A46AE5" w:rsidTr="00EC3321">
        <w:trPr>
          <w:trHeight w:val="291"/>
        </w:trPr>
        <w:tc>
          <w:tcPr>
            <w:tcW w:w="1178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A46AE5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2014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841 346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2 833 545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1 368 001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1 400 000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451 000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192 714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  <w:t>7 086 606</w:t>
            </w:r>
          </w:p>
        </w:tc>
      </w:tr>
      <w:tr w:rsidR="00EC3321" w:rsidRPr="00A46AE5" w:rsidTr="00EC3321">
        <w:trPr>
          <w:trHeight w:val="607"/>
        </w:trPr>
        <w:tc>
          <w:tcPr>
            <w:tcW w:w="11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b/>
                <w:bCs/>
                <w:color w:val="595959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595959"/>
                <w:lang w:eastAsia="pl-PL"/>
              </w:rPr>
              <w:t>Joaquin Duato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2016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875 000</w:t>
            </w:r>
          </w:p>
        </w:tc>
        <w:tc>
          <w:tcPr>
            <w:tcW w:w="1054" w:type="dxa"/>
            <w:vMerge w:val="restart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3 198 483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1 260 002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2 158 006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2 535 760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eastAsia="pl-PL"/>
              </w:rPr>
              <w:t>77 278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FFFFFF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A46AE5" w:rsidRPr="00A46AE5" w:rsidRDefault="00A46AE5" w:rsidP="00A46AE5">
            <w:pPr>
              <w:jc w:val="center"/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</w:pPr>
            <w:r w:rsidRPr="00A46AE5"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eastAsia="pl-PL"/>
              </w:rPr>
              <w:t>10 104 529</w:t>
            </w:r>
          </w:p>
        </w:tc>
      </w:tr>
      <w:tr w:rsidR="00EC3321" w:rsidRPr="00A46AE5" w:rsidTr="00EC3321">
        <w:trPr>
          <w:trHeight w:val="1342"/>
        </w:trPr>
        <w:tc>
          <w:tcPr>
            <w:tcW w:w="11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</w:pPr>
            <w:r w:rsidRPr="00A46AE5"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  <w:t>Executive Vice President, Group Worldwide Chairman, Pahrmaceuticals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</w:pPr>
          </w:p>
        </w:tc>
        <w:tc>
          <w:tcPr>
            <w:tcW w:w="1054" w:type="dxa"/>
            <w:vMerge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DEBF"/>
              <w:right w:val="nil"/>
            </w:tcBorders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val="en-GB" w:eastAsia="pl-PL"/>
              </w:rPr>
            </w:pPr>
          </w:p>
        </w:tc>
      </w:tr>
      <w:tr w:rsidR="00EC3321" w:rsidRPr="00A46AE5" w:rsidTr="00EC3321">
        <w:trPr>
          <w:trHeight w:val="291"/>
        </w:trPr>
        <w:tc>
          <w:tcPr>
            <w:tcW w:w="1178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000000"/>
                <w:sz w:val="22"/>
                <w:szCs w:val="22"/>
                <w:lang w:val="en-GB" w:eastAsia="pl-PL"/>
              </w:rPr>
            </w:pPr>
            <w:r w:rsidRPr="00A46AE5">
              <w:rPr>
                <w:rFonts w:ascii="Calibri" w:hAnsi="Calibri" w:cs="Calibri"/>
                <w:color w:val="000000"/>
                <w:sz w:val="22"/>
                <w:szCs w:val="22"/>
                <w:lang w:val="en-GB" w:eastAsia="pl-PL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</w:pPr>
          </w:p>
        </w:tc>
        <w:tc>
          <w:tcPr>
            <w:tcW w:w="1054" w:type="dxa"/>
            <w:vMerge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color w:val="595959"/>
                <w:sz w:val="20"/>
                <w:szCs w:val="20"/>
                <w:lang w:val="en-GB"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FFFFFF"/>
              <w:bottom w:val="single" w:sz="8" w:space="0" w:color="FFDEBF"/>
              <w:right w:val="nil"/>
            </w:tcBorders>
            <w:vAlign w:val="center"/>
            <w:hideMark/>
          </w:tcPr>
          <w:p w:rsidR="00A46AE5" w:rsidRPr="00A46AE5" w:rsidRDefault="00A46AE5" w:rsidP="00A46AE5">
            <w:pPr>
              <w:rPr>
                <w:rFonts w:ascii="Calibri" w:hAnsi="Calibri" w:cs="Calibri"/>
                <w:b/>
                <w:bCs/>
                <w:color w:val="FF7900"/>
                <w:sz w:val="20"/>
                <w:szCs w:val="20"/>
                <w:lang w:val="en-GB" w:eastAsia="pl-PL"/>
              </w:rPr>
            </w:pPr>
          </w:p>
        </w:tc>
      </w:tr>
    </w:tbl>
    <w:p w:rsidR="00A46AE5" w:rsidRPr="00A46AE5" w:rsidRDefault="00A46AE5" w:rsidP="00A46AE5">
      <w:pPr>
        <w:spacing w:line="276" w:lineRule="auto"/>
        <w:jc w:val="center"/>
        <w:rPr>
          <w:rFonts w:ascii="Calibri" w:eastAsia="Calibri" w:hAnsi="Calibri"/>
          <w:i/>
          <w:sz w:val="20"/>
          <w:szCs w:val="20"/>
        </w:rPr>
      </w:pPr>
      <w:r w:rsidRPr="00A46AE5">
        <w:rPr>
          <w:rFonts w:ascii="Calibri" w:eastAsia="Calibri" w:hAnsi="Calibri"/>
          <w:i/>
          <w:sz w:val="20"/>
          <w:szCs w:val="20"/>
          <w:lang w:val="en-GB"/>
        </w:rPr>
        <w:t xml:space="preserve"> </w:t>
      </w:r>
      <w:r w:rsidRPr="00A46AE5">
        <w:rPr>
          <w:rFonts w:ascii="Calibri" w:eastAsia="Calibri" w:hAnsi="Calibri"/>
          <w:i/>
          <w:sz w:val="20"/>
          <w:szCs w:val="20"/>
        </w:rPr>
        <w:t xml:space="preserve">Opracowanie Sedlak </w:t>
      </w:r>
      <w:r w:rsidRPr="00A46AE5">
        <w:rPr>
          <w:rFonts w:ascii="Calibri" w:eastAsia="Calibri" w:hAnsi="Calibri"/>
          <w:i/>
          <w:sz w:val="16"/>
          <w:szCs w:val="16"/>
        </w:rPr>
        <w:t>&amp;</w:t>
      </w:r>
      <w:r w:rsidRPr="00A46AE5">
        <w:rPr>
          <w:rFonts w:ascii="Calibri" w:eastAsia="Calibri" w:hAnsi="Calibri"/>
          <w:i/>
          <w:sz w:val="20"/>
          <w:szCs w:val="20"/>
        </w:rPr>
        <w:t xml:space="preserve"> Sedlak na podstawie Johnson &amp; Johnson Proxy Statement</w:t>
      </w:r>
    </w:p>
    <w:p w:rsidR="00A46AE5" w:rsidRPr="00A46AE5" w:rsidRDefault="00A46AE5" w:rsidP="00A46AE5">
      <w:pPr>
        <w:spacing w:line="276" w:lineRule="auto"/>
        <w:jc w:val="center"/>
        <w:rPr>
          <w:rFonts w:ascii="Calibri" w:eastAsia="Calibri" w:hAnsi="Calibri"/>
          <w:b/>
          <w:i/>
          <w:color w:val="002060"/>
        </w:rPr>
      </w:pPr>
    </w:p>
    <w:p w:rsidR="00A46AE5" w:rsidRPr="00A46AE5" w:rsidRDefault="00A46AE5" w:rsidP="00A46AE5">
      <w:pPr>
        <w:spacing w:line="276" w:lineRule="auto"/>
        <w:jc w:val="center"/>
        <w:rPr>
          <w:rFonts w:ascii="Calibri" w:eastAsia="Calibri" w:hAnsi="Calibri"/>
          <w:b/>
          <w:i/>
          <w:color w:val="002060"/>
        </w:rPr>
      </w:pP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b/>
          <w:color w:val="002060"/>
        </w:rPr>
      </w:pPr>
      <w:r w:rsidRPr="00A46AE5">
        <w:rPr>
          <w:rFonts w:ascii="Calibri" w:eastAsia="Calibri" w:hAnsi="Calibri"/>
        </w:rPr>
        <w:t>Joaquin Duato, nowy dyrektor odpowiedzialny za sektor farmaceutyczny koncernu zarobił w 2016 roku 10,1 mln USD. Zestawienie zamyka jedyna kobieta w tym gronie - Sandra Peterson, z łącznymi zarobkami w wysokości 8,7 mln USD.</w:t>
      </w:r>
      <w:r w:rsidRPr="00A46AE5">
        <w:rPr>
          <w:rFonts w:ascii="Calibri" w:eastAsia="Calibri" w:hAnsi="Calibri"/>
          <w:b/>
          <w:color w:val="002060"/>
        </w:rPr>
        <w:t xml:space="preserve"> </w:t>
      </w:r>
    </w:p>
    <w:p w:rsidR="00A46AE5" w:rsidRPr="00A46AE5" w:rsidRDefault="00A46AE5" w:rsidP="00A46AE5">
      <w:pPr>
        <w:spacing w:line="276" w:lineRule="auto"/>
        <w:jc w:val="both"/>
        <w:rPr>
          <w:rFonts w:ascii="Calibri" w:eastAsia="Calibri" w:hAnsi="Calibri"/>
          <w:b/>
          <w:i/>
          <w:color w:val="002060"/>
        </w:rPr>
      </w:pPr>
    </w:p>
    <w:p w:rsidR="0000005A" w:rsidRPr="00A217F4" w:rsidRDefault="0000005A" w:rsidP="00BC1378">
      <w:pPr>
        <w:spacing w:line="276" w:lineRule="auto"/>
        <w:rPr>
          <w:rFonts w:asciiTheme="minorHAnsi" w:eastAsiaTheme="minorHAnsi" w:hAnsiTheme="minorHAnsi"/>
          <w:lang w:eastAsia="pl-PL"/>
        </w:rPr>
      </w:pPr>
    </w:p>
    <w:p w:rsidR="00C755CB" w:rsidRPr="00A217F4" w:rsidRDefault="003D0853" w:rsidP="00BC1378">
      <w:pPr>
        <w:pStyle w:val="aboutus"/>
        <w:spacing w:line="276" w:lineRule="auto"/>
        <w:ind w:left="0"/>
        <w:rPr>
          <w:rFonts w:asciiTheme="minorHAnsi" w:hAnsiTheme="minorHAnsi"/>
          <w:sz w:val="20"/>
          <w:szCs w:val="18"/>
        </w:rPr>
      </w:pPr>
      <w:r>
        <w:rPr>
          <w:rFonts w:asciiTheme="minorHAnsi" w:hAnsi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5219700" cy="635"/>
                <wp:effectExtent l="0" t="0" r="19050" b="3746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A46B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0;margin-top:2.9pt;width:411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" strokecolor="#54628d" strokeweight="1.5pt"/>
            </w:pict>
          </mc:Fallback>
        </mc:AlternateContent>
      </w:r>
    </w:p>
    <w:p w:rsidR="008A5839" w:rsidRPr="00A217F4" w:rsidRDefault="008A5839" w:rsidP="00BC1378">
      <w:pPr>
        <w:pStyle w:val="aboutus"/>
        <w:spacing w:line="276" w:lineRule="auto"/>
        <w:ind w:left="0"/>
        <w:jc w:val="center"/>
        <w:rPr>
          <w:rFonts w:asciiTheme="minorHAnsi" w:hAnsiTheme="minorHAnsi"/>
          <w:sz w:val="20"/>
          <w:szCs w:val="18"/>
        </w:rPr>
      </w:pPr>
      <w:r w:rsidRPr="00A217F4">
        <w:rPr>
          <w:rFonts w:asciiTheme="minorHAnsi" w:hAnsiTheme="minorHAnsi"/>
          <w:b w:val="0"/>
          <w:bCs w:val="0"/>
          <w:noProof/>
          <w:sz w:val="20"/>
        </w:rPr>
        <w:drawing>
          <wp:inline distT="0" distB="0" distL="0" distR="0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4B4" w:rsidRPr="0058086E" w:rsidRDefault="00EA72FE" w:rsidP="0058086E">
      <w:pPr>
        <w:autoSpaceDE w:val="0"/>
        <w:autoSpaceDN w:val="0"/>
        <w:adjustRightInd w:val="0"/>
        <w:spacing w:before="240"/>
        <w:rPr>
          <w:rFonts w:ascii="Helv" w:eastAsia="Calibri" w:hAnsi="Helv" w:cs="Helv"/>
          <w:b/>
          <w:bCs/>
          <w:color w:val="000000"/>
          <w:sz w:val="20"/>
          <w:szCs w:val="20"/>
          <w:lang w:eastAsia="pl-PL"/>
        </w:rPr>
      </w:pP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Sedlak </w:t>
      </w:r>
      <w:r w:rsidRPr="00A217F4">
        <w:rPr>
          <w:rFonts w:asciiTheme="minorHAnsi" w:eastAsia="Calibri" w:hAnsiTheme="minorHAnsi" w:cs="Calibri"/>
          <w:b/>
          <w:sz w:val="18"/>
          <w:lang w:eastAsia="pl-PL"/>
        </w:rPr>
        <w:t>&amp;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 Sedlak wyraża zgodę na publikację niniejszego opracowania pod warunkiem powołania się na źródło: wynagrodzenia.pl oraz zamies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zczenie pod artykułem aktywnego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linku do strony Ogól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>nopo</w:t>
      </w:r>
      <w:r w:rsidR="00877EA4">
        <w:rPr>
          <w:rFonts w:asciiTheme="minorHAnsi" w:eastAsia="Calibri" w:hAnsiTheme="minorHAnsi" w:cs="Calibri"/>
          <w:b/>
          <w:sz w:val="22"/>
          <w:lang w:eastAsia="pl-PL"/>
        </w:rPr>
        <w:t xml:space="preserve">lskiego Badania Wynagrodzeń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(</w:t>
      </w:r>
      <w:hyperlink r:id="rId15" w:history="1">
        <w:r w:rsidR="000220E7" w:rsidRPr="000220E7">
          <w:rPr>
            <w:rStyle w:val="Hipercze"/>
            <w:rFonts w:ascii="Calibri" w:eastAsia="Calibri" w:hAnsi="Calibri" w:cs="Calibri"/>
            <w:b/>
            <w:bCs/>
            <w:sz w:val="22"/>
            <w:szCs w:val="22"/>
            <w:lang w:eastAsia="pl-PL"/>
          </w:rPr>
          <w:t>http://wynagrodzenia.pl/</w:t>
        </w:r>
        <w:r w:rsidR="000220E7" w:rsidRPr="000220E7">
          <w:rPr>
            <w:rStyle w:val="Hipercze"/>
            <w:rFonts w:ascii="Helv" w:eastAsia="Calibri" w:hAnsi="Helv" w:cs="Helv"/>
            <w:b/>
            <w:bCs/>
            <w:sz w:val="20"/>
            <w:szCs w:val="20"/>
            <w:lang w:eastAsia="pl-PL"/>
          </w:rPr>
          <w:t>t/ogolnopolskie-badanie-wynagrodzen-np</w:t>
        </w:r>
      </w:hyperlink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) czcionką nie mniejszą niż czcionka użyta w publikacji. </w:t>
      </w:r>
    </w:p>
    <w:sectPr w:rsidR="003974B4" w:rsidRPr="0058086E" w:rsidSect="00E107E8">
      <w:headerReference w:type="default" r:id="rId16"/>
      <w:footerReference w:type="default" r:id="rId17"/>
      <w:pgSz w:w="11906" w:h="16838"/>
      <w:pgMar w:top="1950" w:right="1418" w:bottom="1985" w:left="226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E49" w:rsidRDefault="00583E49">
      <w:r>
        <w:separator/>
      </w:r>
    </w:p>
  </w:endnote>
  <w:endnote w:type="continuationSeparator" w:id="0">
    <w:p w:rsidR="00583E49" w:rsidRDefault="00583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etica">
    <w:panose1 w:val="020B0504020202020204"/>
    <w:charset w:val="EE"/>
    <w:family w:val="swiss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3D085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3238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3267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:rsidR="0007162A" w:rsidRDefault="0007162A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:rsidR="0007162A" w:rsidRDefault="0007162A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E49" w:rsidRDefault="00583E49">
      <w:r>
        <w:separator/>
      </w:r>
    </w:p>
  </w:footnote>
  <w:footnote w:type="continuationSeparator" w:id="0">
    <w:p w:rsidR="00583E49" w:rsidRDefault="00583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07162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D0853"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298" distR="114298" simplePos="0" relativeHeight="251658752" behindDoc="0" locked="0" layoutInCell="1" allowOverlap="1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6A45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3D2C5B"/>
    <w:multiLevelType w:val="hybridMultilevel"/>
    <w:tmpl w:val="C73E32B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E31AD"/>
    <w:multiLevelType w:val="hybridMultilevel"/>
    <w:tmpl w:val="FAEE0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B093F"/>
    <w:multiLevelType w:val="hybridMultilevel"/>
    <w:tmpl w:val="AD120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D7FFC"/>
    <w:multiLevelType w:val="hybridMultilevel"/>
    <w:tmpl w:val="7996E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87EC1"/>
    <w:multiLevelType w:val="hybridMultilevel"/>
    <w:tmpl w:val="FCEE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F717DE"/>
    <w:multiLevelType w:val="hybridMultilevel"/>
    <w:tmpl w:val="CF9AE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4B7BE5"/>
    <w:multiLevelType w:val="hybridMultilevel"/>
    <w:tmpl w:val="C090EC3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081A63"/>
    <w:multiLevelType w:val="hybridMultilevel"/>
    <w:tmpl w:val="0FE41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10"/>
  </w:num>
  <w:num w:numId="4">
    <w:abstractNumId w:val="16"/>
  </w:num>
  <w:num w:numId="5">
    <w:abstractNumId w:val="13"/>
  </w:num>
  <w:num w:numId="6">
    <w:abstractNumId w:val="27"/>
  </w:num>
  <w:num w:numId="7">
    <w:abstractNumId w:val="24"/>
  </w:num>
  <w:num w:numId="8">
    <w:abstractNumId w:val="9"/>
  </w:num>
  <w:num w:numId="9">
    <w:abstractNumId w:val="0"/>
  </w:num>
  <w:num w:numId="10">
    <w:abstractNumId w:val="5"/>
  </w:num>
  <w:num w:numId="11">
    <w:abstractNumId w:val="20"/>
  </w:num>
  <w:num w:numId="12">
    <w:abstractNumId w:val="15"/>
  </w:num>
  <w:num w:numId="13">
    <w:abstractNumId w:val="1"/>
  </w:num>
  <w:num w:numId="14">
    <w:abstractNumId w:val="2"/>
  </w:num>
  <w:num w:numId="15">
    <w:abstractNumId w:val="21"/>
  </w:num>
  <w:num w:numId="16">
    <w:abstractNumId w:val="14"/>
  </w:num>
  <w:num w:numId="17">
    <w:abstractNumId w:val="26"/>
  </w:num>
  <w:num w:numId="18">
    <w:abstractNumId w:val="17"/>
  </w:num>
  <w:num w:numId="19">
    <w:abstractNumId w:val="22"/>
  </w:num>
  <w:num w:numId="20">
    <w:abstractNumId w:val="11"/>
  </w:num>
  <w:num w:numId="21">
    <w:abstractNumId w:val="7"/>
  </w:num>
  <w:num w:numId="22">
    <w:abstractNumId w:val="12"/>
  </w:num>
  <w:num w:numId="23">
    <w:abstractNumId w:val="25"/>
  </w:num>
  <w:num w:numId="24">
    <w:abstractNumId w:val="23"/>
  </w:num>
  <w:num w:numId="25">
    <w:abstractNumId w:val="8"/>
  </w:num>
  <w:num w:numId="26">
    <w:abstractNumId w:val="18"/>
  </w:num>
  <w:num w:numId="27">
    <w:abstractNumId w:val="6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53601" strokecolor="#54628d">
      <v:stroke color="#54628d" weight="1.5pt"/>
      <o:colormru v:ext="edit" colors="#e2aa1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6455"/>
    <w:rsid w:val="0004729F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5029"/>
    <w:rsid w:val="00104807"/>
    <w:rsid w:val="0010695E"/>
    <w:rsid w:val="001070E5"/>
    <w:rsid w:val="00110DE1"/>
    <w:rsid w:val="001148E8"/>
    <w:rsid w:val="00125F6B"/>
    <w:rsid w:val="00126B2C"/>
    <w:rsid w:val="00126F9A"/>
    <w:rsid w:val="001341F5"/>
    <w:rsid w:val="00134DC6"/>
    <w:rsid w:val="00140A4B"/>
    <w:rsid w:val="00145C4D"/>
    <w:rsid w:val="00150032"/>
    <w:rsid w:val="00150A0F"/>
    <w:rsid w:val="0015321A"/>
    <w:rsid w:val="00156DA7"/>
    <w:rsid w:val="0015783F"/>
    <w:rsid w:val="00165E75"/>
    <w:rsid w:val="00171840"/>
    <w:rsid w:val="00171A3E"/>
    <w:rsid w:val="00174304"/>
    <w:rsid w:val="00174C32"/>
    <w:rsid w:val="0017528D"/>
    <w:rsid w:val="00182578"/>
    <w:rsid w:val="00183F7E"/>
    <w:rsid w:val="001856B5"/>
    <w:rsid w:val="00185BF8"/>
    <w:rsid w:val="00193068"/>
    <w:rsid w:val="00195689"/>
    <w:rsid w:val="001A033F"/>
    <w:rsid w:val="001A16B2"/>
    <w:rsid w:val="001A1C71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FBA"/>
    <w:rsid w:val="001E681A"/>
    <w:rsid w:val="001F0C21"/>
    <w:rsid w:val="001F1B2A"/>
    <w:rsid w:val="001F4A14"/>
    <w:rsid w:val="001F786C"/>
    <w:rsid w:val="00212B6F"/>
    <w:rsid w:val="00212D95"/>
    <w:rsid w:val="00213CF8"/>
    <w:rsid w:val="00215F9E"/>
    <w:rsid w:val="002209F7"/>
    <w:rsid w:val="00224816"/>
    <w:rsid w:val="00227337"/>
    <w:rsid w:val="00233678"/>
    <w:rsid w:val="002338EC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83CA9"/>
    <w:rsid w:val="00284A21"/>
    <w:rsid w:val="002874B6"/>
    <w:rsid w:val="00294F3E"/>
    <w:rsid w:val="002A12E3"/>
    <w:rsid w:val="002A3C85"/>
    <w:rsid w:val="002A7807"/>
    <w:rsid w:val="002B3583"/>
    <w:rsid w:val="002B3C18"/>
    <w:rsid w:val="002B6682"/>
    <w:rsid w:val="002C2CB9"/>
    <w:rsid w:val="002D0876"/>
    <w:rsid w:val="002D0F3D"/>
    <w:rsid w:val="002D352D"/>
    <w:rsid w:val="002D7055"/>
    <w:rsid w:val="002E18BF"/>
    <w:rsid w:val="002F06D9"/>
    <w:rsid w:val="002F18B2"/>
    <w:rsid w:val="002F52E5"/>
    <w:rsid w:val="002F7E8A"/>
    <w:rsid w:val="00303FFA"/>
    <w:rsid w:val="003133CE"/>
    <w:rsid w:val="00313A17"/>
    <w:rsid w:val="00313B7F"/>
    <w:rsid w:val="00314697"/>
    <w:rsid w:val="0032183C"/>
    <w:rsid w:val="00325771"/>
    <w:rsid w:val="0033554D"/>
    <w:rsid w:val="00336B92"/>
    <w:rsid w:val="00340A66"/>
    <w:rsid w:val="003429B3"/>
    <w:rsid w:val="003444E1"/>
    <w:rsid w:val="0034458E"/>
    <w:rsid w:val="00346738"/>
    <w:rsid w:val="00353B31"/>
    <w:rsid w:val="00354444"/>
    <w:rsid w:val="0036020E"/>
    <w:rsid w:val="0036232C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443A"/>
    <w:rsid w:val="003A73F1"/>
    <w:rsid w:val="003B1BE0"/>
    <w:rsid w:val="003B35F2"/>
    <w:rsid w:val="003B5D5E"/>
    <w:rsid w:val="003C1054"/>
    <w:rsid w:val="003C5113"/>
    <w:rsid w:val="003C54DE"/>
    <w:rsid w:val="003D0853"/>
    <w:rsid w:val="003D47FF"/>
    <w:rsid w:val="003D484D"/>
    <w:rsid w:val="003D5828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7F9C"/>
    <w:rsid w:val="00490679"/>
    <w:rsid w:val="00493681"/>
    <w:rsid w:val="004A0D01"/>
    <w:rsid w:val="004A45E5"/>
    <w:rsid w:val="004A6E23"/>
    <w:rsid w:val="004A7C8C"/>
    <w:rsid w:val="004B17E0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4F00D3"/>
    <w:rsid w:val="005078F7"/>
    <w:rsid w:val="005111D8"/>
    <w:rsid w:val="00514744"/>
    <w:rsid w:val="00526EBB"/>
    <w:rsid w:val="0052750E"/>
    <w:rsid w:val="005316C8"/>
    <w:rsid w:val="00537F5A"/>
    <w:rsid w:val="00545D3A"/>
    <w:rsid w:val="00552191"/>
    <w:rsid w:val="0056083F"/>
    <w:rsid w:val="0057587E"/>
    <w:rsid w:val="0058086E"/>
    <w:rsid w:val="00582349"/>
    <w:rsid w:val="00582F2E"/>
    <w:rsid w:val="00583E49"/>
    <w:rsid w:val="0058642C"/>
    <w:rsid w:val="00590BA0"/>
    <w:rsid w:val="00592555"/>
    <w:rsid w:val="00596EBC"/>
    <w:rsid w:val="0059743E"/>
    <w:rsid w:val="005A10D4"/>
    <w:rsid w:val="005A7228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3766E"/>
    <w:rsid w:val="00640874"/>
    <w:rsid w:val="0064290F"/>
    <w:rsid w:val="0064418A"/>
    <w:rsid w:val="00644723"/>
    <w:rsid w:val="006470E5"/>
    <w:rsid w:val="00657E85"/>
    <w:rsid w:val="00662A81"/>
    <w:rsid w:val="0066353F"/>
    <w:rsid w:val="00670A17"/>
    <w:rsid w:val="00673C2D"/>
    <w:rsid w:val="0067729F"/>
    <w:rsid w:val="006812B2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04253"/>
    <w:rsid w:val="00711B6A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6436E"/>
    <w:rsid w:val="00764486"/>
    <w:rsid w:val="0077201F"/>
    <w:rsid w:val="0077598D"/>
    <w:rsid w:val="00777AE4"/>
    <w:rsid w:val="00780F8F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E4A"/>
    <w:rsid w:val="007D6E2F"/>
    <w:rsid w:val="007E70B5"/>
    <w:rsid w:val="007F38A1"/>
    <w:rsid w:val="007F4398"/>
    <w:rsid w:val="007F5138"/>
    <w:rsid w:val="007F51CD"/>
    <w:rsid w:val="00803F7F"/>
    <w:rsid w:val="00805DAA"/>
    <w:rsid w:val="00820A6F"/>
    <w:rsid w:val="00820DA2"/>
    <w:rsid w:val="0082710F"/>
    <w:rsid w:val="008271C7"/>
    <w:rsid w:val="008328ED"/>
    <w:rsid w:val="00843FE8"/>
    <w:rsid w:val="008479DF"/>
    <w:rsid w:val="00850D62"/>
    <w:rsid w:val="00852F2A"/>
    <w:rsid w:val="008531FC"/>
    <w:rsid w:val="00853CC5"/>
    <w:rsid w:val="00863203"/>
    <w:rsid w:val="00874486"/>
    <w:rsid w:val="00877EA4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72C40"/>
    <w:rsid w:val="00973AAD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1385"/>
    <w:rsid w:val="00A32C7E"/>
    <w:rsid w:val="00A35025"/>
    <w:rsid w:val="00A37C7F"/>
    <w:rsid w:val="00A4071E"/>
    <w:rsid w:val="00A441FE"/>
    <w:rsid w:val="00A46AE5"/>
    <w:rsid w:val="00A47038"/>
    <w:rsid w:val="00A526A4"/>
    <w:rsid w:val="00A53442"/>
    <w:rsid w:val="00A55A12"/>
    <w:rsid w:val="00A5669F"/>
    <w:rsid w:val="00A60C49"/>
    <w:rsid w:val="00A8536E"/>
    <w:rsid w:val="00A9220D"/>
    <w:rsid w:val="00AA1ACE"/>
    <w:rsid w:val="00AA2BFE"/>
    <w:rsid w:val="00AA38D6"/>
    <w:rsid w:val="00AA5A87"/>
    <w:rsid w:val="00AB1E39"/>
    <w:rsid w:val="00AB2ACE"/>
    <w:rsid w:val="00AC2092"/>
    <w:rsid w:val="00AC5B89"/>
    <w:rsid w:val="00AC6F3D"/>
    <w:rsid w:val="00AD74D7"/>
    <w:rsid w:val="00AE62AE"/>
    <w:rsid w:val="00AE6D31"/>
    <w:rsid w:val="00AF051F"/>
    <w:rsid w:val="00B01964"/>
    <w:rsid w:val="00B02B18"/>
    <w:rsid w:val="00B074F5"/>
    <w:rsid w:val="00B07DAD"/>
    <w:rsid w:val="00B114FD"/>
    <w:rsid w:val="00B12ED8"/>
    <w:rsid w:val="00B144AC"/>
    <w:rsid w:val="00B14E21"/>
    <w:rsid w:val="00B14E42"/>
    <w:rsid w:val="00B14E96"/>
    <w:rsid w:val="00B1561D"/>
    <w:rsid w:val="00B211A4"/>
    <w:rsid w:val="00B30BB9"/>
    <w:rsid w:val="00B3378B"/>
    <w:rsid w:val="00B3419D"/>
    <w:rsid w:val="00B35C17"/>
    <w:rsid w:val="00B412FB"/>
    <w:rsid w:val="00B47105"/>
    <w:rsid w:val="00B54161"/>
    <w:rsid w:val="00B60127"/>
    <w:rsid w:val="00B64D6D"/>
    <w:rsid w:val="00B6647B"/>
    <w:rsid w:val="00B6728B"/>
    <w:rsid w:val="00B67566"/>
    <w:rsid w:val="00B71B25"/>
    <w:rsid w:val="00B7393F"/>
    <w:rsid w:val="00B759E8"/>
    <w:rsid w:val="00B826E3"/>
    <w:rsid w:val="00B8795B"/>
    <w:rsid w:val="00B94657"/>
    <w:rsid w:val="00B9709C"/>
    <w:rsid w:val="00BA32D6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3B6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9230D"/>
    <w:rsid w:val="00D9308A"/>
    <w:rsid w:val="00D9568F"/>
    <w:rsid w:val="00DA0AC2"/>
    <w:rsid w:val="00DA2617"/>
    <w:rsid w:val="00DA357F"/>
    <w:rsid w:val="00DA49EF"/>
    <w:rsid w:val="00DB18C9"/>
    <w:rsid w:val="00DB3A8C"/>
    <w:rsid w:val="00DB4194"/>
    <w:rsid w:val="00DB7CDE"/>
    <w:rsid w:val="00DC0C7E"/>
    <w:rsid w:val="00DC2AA7"/>
    <w:rsid w:val="00DC5B67"/>
    <w:rsid w:val="00DC7022"/>
    <w:rsid w:val="00DD2031"/>
    <w:rsid w:val="00DD6B93"/>
    <w:rsid w:val="00DE42DC"/>
    <w:rsid w:val="00DE45D2"/>
    <w:rsid w:val="00DF4FAF"/>
    <w:rsid w:val="00DF6CF5"/>
    <w:rsid w:val="00DF70A4"/>
    <w:rsid w:val="00E046DB"/>
    <w:rsid w:val="00E107E8"/>
    <w:rsid w:val="00E141CB"/>
    <w:rsid w:val="00E21303"/>
    <w:rsid w:val="00E21387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7922"/>
    <w:rsid w:val="00E80491"/>
    <w:rsid w:val="00E82485"/>
    <w:rsid w:val="00E82D01"/>
    <w:rsid w:val="00E845DE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2CA1"/>
    <w:rsid w:val="00EB41E3"/>
    <w:rsid w:val="00EB541C"/>
    <w:rsid w:val="00EC1B96"/>
    <w:rsid w:val="00EC3321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FFD"/>
    <w:rsid w:val="00F217B6"/>
    <w:rsid w:val="00F24D28"/>
    <w:rsid w:val="00F26E6D"/>
    <w:rsid w:val="00F30CBE"/>
    <w:rsid w:val="00F47F09"/>
    <w:rsid w:val="00F54B4E"/>
    <w:rsid w:val="00F55C5D"/>
    <w:rsid w:val="00F67D9B"/>
    <w:rsid w:val="00F7356C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C1A04"/>
    <w:rsid w:val="00FC1D1B"/>
    <w:rsid w:val="00FC3086"/>
    <w:rsid w:val="00FC39FC"/>
    <w:rsid w:val="00FC64F6"/>
    <w:rsid w:val="00FC77D0"/>
    <w:rsid w:val="00FD623A"/>
    <w:rsid w:val="00FD6D06"/>
    <w:rsid w:val="00FF2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 strokecolor="#54628d">
      <v:stroke color="#54628d" weight="1.5pt"/>
      <o:colormru v:ext="edit" colors="#e2aa1e"/>
    </o:shapedefaults>
    <o:shapelayout v:ext="edit">
      <o:idmap v:ext="edit" data="1"/>
    </o:shapelayout>
  </w:shapeDefaults>
  <w:decimalSymbol w:val=","/>
  <w:listSeparator w:val=";"/>
  <w15:docId w15:val="{0F2F46A5-D3B1-4D20-A260-8513E82F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qFormat/>
    <w:rsid w:val="00E107E8"/>
    <w:pPr>
      <w:keepNext/>
      <w:spacing w:before="480" w:after="240"/>
      <w:jc w:val="center"/>
      <w:outlineLvl w:val="2"/>
    </w:pPr>
    <w:rPr>
      <w:rFonts w:ascii="Calibri" w:hAnsi="Calibri" w:cs="Arial"/>
      <w:color w:val="000080"/>
      <w:sz w:val="32"/>
      <w:szCs w:val="32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Sedlak">
    <w:name w:val="TytułSedlak"/>
    <w:basedOn w:val="Normalny"/>
    <w:link w:val="TytuSedlakZnak"/>
    <w:qFormat/>
    <w:rsid w:val="00704253"/>
    <w:pPr>
      <w:spacing w:line="276" w:lineRule="auto"/>
      <w:jc w:val="center"/>
      <w:outlineLvl w:val="0"/>
    </w:pPr>
    <w:rPr>
      <w:rFonts w:asciiTheme="minorHAnsi" w:hAnsiTheme="minorHAnsi"/>
      <w:b/>
      <w:bCs/>
      <w:color w:val="002060"/>
      <w:kern w:val="36"/>
      <w:sz w:val="32"/>
      <w:szCs w:val="32"/>
      <w:lang w:eastAsia="en-AU"/>
    </w:rPr>
  </w:style>
  <w:style w:type="character" w:customStyle="1" w:styleId="TytuSedlakZnak">
    <w:name w:val="TytułSedlak Znak"/>
    <w:basedOn w:val="Domylnaczcionkaakapitu"/>
    <w:link w:val="TytuSedlak"/>
    <w:rsid w:val="00704253"/>
    <w:rPr>
      <w:rFonts w:asciiTheme="minorHAnsi" w:eastAsia="Times New Roman" w:hAnsiTheme="minorHAnsi"/>
      <w:b/>
      <w:bCs/>
      <w:color w:val="002060"/>
      <w:kern w:val="36"/>
      <w:sz w:val="32"/>
      <w:szCs w:val="32"/>
      <w:lang w:eastAsia="en-AU"/>
    </w:rPr>
  </w:style>
  <w:style w:type="paragraph" w:customStyle="1" w:styleId="tekstsedlak">
    <w:name w:val="tekstsedlak"/>
    <w:basedOn w:val="Normalny"/>
    <w:link w:val="tekstsedlakZnak"/>
    <w:qFormat/>
    <w:rsid w:val="00704253"/>
    <w:pPr>
      <w:spacing w:before="240" w:after="240" w:line="276" w:lineRule="auto"/>
      <w:jc w:val="both"/>
    </w:pPr>
    <w:rPr>
      <w:rFonts w:asciiTheme="minorHAnsi" w:eastAsiaTheme="minorEastAsia" w:hAnsiTheme="minorHAnsi" w:cs="Arial"/>
      <w:lang w:eastAsia="pl-PL"/>
    </w:rPr>
  </w:style>
  <w:style w:type="character" w:customStyle="1" w:styleId="tekstsedlakZnak">
    <w:name w:val="tekstsedlak Znak"/>
    <w:basedOn w:val="Domylnaczcionkaakapitu"/>
    <w:link w:val="tekstsedlak"/>
    <w:rsid w:val="00704253"/>
    <w:rPr>
      <w:rFonts w:asciiTheme="minorHAnsi" w:eastAsiaTheme="minorEastAsia" w:hAnsiTheme="minorHAnsi" w:cs="Arial"/>
      <w:sz w:val="24"/>
      <w:szCs w:val="24"/>
    </w:rPr>
  </w:style>
  <w:style w:type="paragraph" w:customStyle="1" w:styleId="wykressedlak">
    <w:name w:val="wykressedlak"/>
    <w:basedOn w:val="Normalny"/>
    <w:link w:val="wykressedlakZnak"/>
    <w:qFormat/>
    <w:rsid w:val="00704253"/>
    <w:pPr>
      <w:spacing w:line="276" w:lineRule="auto"/>
      <w:jc w:val="center"/>
    </w:pPr>
    <w:rPr>
      <w:rFonts w:asciiTheme="minorHAnsi" w:eastAsiaTheme="minorEastAsia" w:hAnsiTheme="minorHAnsi" w:cstheme="minorBidi"/>
      <w:b/>
      <w:color w:val="002060"/>
      <w:szCs w:val="22"/>
      <w:lang w:eastAsia="pl-PL"/>
    </w:rPr>
  </w:style>
  <w:style w:type="character" w:customStyle="1" w:styleId="wykressedlakZnak">
    <w:name w:val="wykressedlak Znak"/>
    <w:basedOn w:val="Domylnaczcionkaakapitu"/>
    <w:link w:val="wykressedlak"/>
    <w:rsid w:val="00704253"/>
    <w:rPr>
      <w:rFonts w:asciiTheme="minorHAnsi" w:eastAsiaTheme="minorEastAsia" w:hAnsiTheme="minorHAnsi" w:cstheme="minorBidi"/>
      <w:b/>
      <w:color w:val="00206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wynagrodzenia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://wynagrodzenia.pl/t/ogolnopolskie-badanie-wynagrodzen-np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edia@sedlak.pl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E4B7F-4D5E-481B-BBFF-E589189B7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1907</Words>
  <Characters>11446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13327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Kamil Preidl</cp:lastModifiedBy>
  <cp:revision>4</cp:revision>
  <cp:lastPrinted>2016-12-19T13:09:00Z</cp:lastPrinted>
  <dcterms:created xsi:type="dcterms:W3CDTF">2017-02-08T13:22:00Z</dcterms:created>
  <dcterms:modified xsi:type="dcterms:W3CDTF">2018-01-12T14:31:00Z</dcterms:modified>
</cp:coreProperties>
</file>