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877EA4"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0</w:t>
      </w:r>
      <w:r w:rsidR="00025A27">
        <w:rPr>
          <w:rFonts w:asciiTheme="minorHAnsi" w:hAnsiTheme="minorHAnsi"/>
          <w:b w:val="0"/>
          <w:bCs w:val="0"/>
          <w:sz w:val="20"/>
        </w:rPr>
        <w:t>4</w:t>
      </w:r>
      <w:r>
        <w:rPr>
          <w:rFonts w:asciiTheme="minorHAnsi" w:hAnsiTheme="minorHAnsi"/>
          <w:b w:val="0"/>
          <w:bCs w:val="0"/>
          <w:sz w:val="20"/>
        </w:rPr>
        <w:t>.0</w:t>
      </w:r>
      <w:r w:rsidR="00025A27">
        <w:rPr>
          <w:rFonts w:asciiTheme="minorHAnsi" w:hAnsiTheme="minorHAnsi"/>
          <w:b w:val="0"/>
          <w:bCs w:val="0"/>
          <w:sz w:val="20"/>
        </w:rPr>
        <w:t>9</w:t>
      </w:r>
      <w:r w:rsidR="00881459">
        <w:rPr>
          <w:rFonts w:asciiTheme="minorHAnsi" w:hAnsiTheme="minorHAnsi"/>
          <w:b w:val="0"/>
          <w:bCs w:val="0"/>
          <w:sz w:val="20"/>
        </w:rPr>
        <w:t>.201</w:t>
      </w:r>
      <w:r w:rsidR="00025A27">
        <w:rPr>
          <w:rFonts w:asciiTheme="minorHAnsi" w:hAnsiTheme="minorHAnsi"/>
          <w:b w:val="0"/>
          <w:bCs w:val="0"/>
          <w:sz w:val="20"/>
        </w:rPr>
        <w:t>8</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025A27" w:rsidRPr="00A217F4" w:rsidRDefault="00025A27" w:rsidP="00BC1378">
      <w:pPr>
        <w:spacing w:line="276" w:lineRule="auto"/>
        <w:rPr>
          <w:rFonts w:asciiTheme="minorHAnsi" w:hAnsiTheme="minorHAnsi" w:cs="Arial"/>
          <w:sz w:val="22"/>
          <w:szCs w:val="22"/>
        </w:rPr>
      </w:pPr>
      <w:bookmarkStart w:id="0" w:name="_GoBack"/>
      <w:bookmarkEnd w:id="0"/>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025A27"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0D470B" w:rsidRDefault="000D470B" w:rsidP="00C53DE9">
      <w:pPr>
        <w:spacing w:line="276" w:lineRule="auto"/>
        <w:jc w:val="center"/>
        <w:rPr>
          <w:rFonts w:asciiTheme="minorHAnsi" w:eastAsia="Calibri" w:hAnsiTheme="minorHAnsi"/>
          <w:b/>
          <w:color w:val="002060"/>
          <w:sz w:val="40"/>
          <w:szCs w:val="40"/>
        </w:rPr>
      </w:pPr>
    </w:p>
    <w:p w:rsidR="00025A27" w:rsidRDefault="00025A27" w:rsidP="00025A27">
      <w:pPr>
        <w:pStyle w:val="TytuSedlak0"/>
        <w:rPr>
          <w:lang w:eastAsia="en-US"/>
        </w:rPr>
      </w:pPr>
      <w:r>
        <w:t xml:space="preserve">Świadczenia dodatkowe w oczach menedżerów </w:t>
      </w:r>
    </w:p>
    <w:p w:rsidR="00025A27" w:rsidRDefault="00025A27" w:rsidP="00025A27">
      <w:pPr>
        <w:pStyle w:val="TytuSedlak0"/>
      </w:pPr>
      <w:r>
        <w:t>w 2018 roku</w:t>
      </w:r>
    </w:p>
    <w:p w:rsidR="00025A27" w:rsidRDefault="00025A27" w:rsidP="00025A27">
      <w:pPr>
        <w:pStyle w:val="TytuSedlak0"/>
      </w:pPr>
    </w:p>
    <w:p w:rsidR="00025A27" w:rsidRDefault="00025A27" w:rsidP="00025A27">
      <w:pPr>
        <w:pStyle w:val="tekstsedalk"/>
        <w:rPr>
          <w:b/>
        </w:rPr>
      </w:pPr>
      <w:r>
        <w:rPr>
          <w:b/>
        </w:rPr>
        <w:t xml:space="preserve">Zatrudnianie i motywowanie najlepszych menedżerów to obecnie duże wyzwanie dla pracodawców. Oprócz atrakcyjnego wynagrodzenia podstawowego, coraz ważniejszą rolę odgrywa dobrze dobrany pakiet świadczeń dodatkowych. </w:t>
      </w:r>
    </w:p>
    <w:p w:rsidR="00025A27" w:rsidRDefault="00025A27" w:rsidP="00025A27">
      <w:pPr>
        <w:pStyle w:val="tekstsedalk"/>
        <w:rPr>
          <w:b/>
        </w:rPr>
      </w:pPr>
      <w:r>
        <w:rPr>
          <w:b/>
        </w:rPr>
        <w:t>Artykuł powstał na podstawie badania</w:t>
      </w:r>
      <w:r>
        <w:rPr>
          <w:b/>
          <w:color w:val="000000" w:themeColor="text1"/>
        </w:rPr>
        <w:t xml:space="preserve"> „Świadczenia dodatkowe w oczach pracowników w 2018 roku”, </w:t>
      </w:r>
      <w:r>
        <w:rPr>
          <w:b/>
        </w:rPr>
        <w:t xml:space="preserve">przeprowadzonego przez Sedlak </w:t>
      </w:r>
      <w:r>
        <w:rPr>
          <w:b/>
          <w:sz w:val="20"/>
          <w:szCs w:val="20"/>
        </w:rPr>
        <w:t>&amp;</w:t>
      </w:r>
      <w:r>
        <w:rPr>
          <w:b/>
        </w:rPr>
        <w:t xml:space="preserve"> Sedlak. Wzięły w nim udział 644 osoby zajmujące stanowiska kierownicze. Respondentów pytaliśmy o otrzymywane i pożądane benefity, ich wartość oraz poziom satysfakcji.</w:t>
      </w:r>
    </w:p>
    <w:p w:rsidR="00025A27" w:rsidRDefault="00025A27" w:rsidP="00025A27"/>
    <w:p w:rsidR="00025A27" w:rsidRDefault="00025A27" w:rsidP="00025A27">
      <w:pPr>
        <w:pStyle w:val="podtytusedlak"/>
      </w:pPr>
      <w:r>
        <w:t>Rzeczywistość</w:t>
      </w:r>
    </w:p>
    <w:p w:rsidR="00025A27" w:rsidRDefault="00025A27" w:rsidP="00025A27">
      <w:pPr>
        <w:pStyle w:val="tekstsedalk"/>
      </w:pPr>
      <w:r>
        <w:t xml:space="preserve">Menedżerowie w Polsce najczęściej otrzymują telefon służbowy do użytku prywatnego – aż 60,5%. W przypadku tego świadczenia, odsetek menedżerów otrzymujących go był znacznie wyższy niż dla ogółu pracowników (35,8%). Na drugim miejscu w rankingu najpopularniejszych świadczeń dla kierowników znalazły się karnety na siłownię i do klubów fitness (53,8%).  Trzecie miejsce to komputer służbowy do użytku prywatnego (49,4%). </w:t>
      </w:r>
    </w:p>
    <w:p w:rsidR="00025A27" w:rsidRDefault="00025A27" w:rsidP="00025A27">
      <w:pPr>
        <w:pStyle w:val="tekstsedalk"/>
      </w:pPr>
    </w:p>
    <w:p w:rsidR="00025A27" w:rsidRDefault="00025A27" w:rsidP="00025A27">
      <w:pPr>
        <w:pStyle w:val="podpissedlak"/>
      </w:pPr>
      <w:r>
        <w:t xml:space="preserve">Wykres 1. Świadczenia dodatkowe najczęściej otrzymywane </w:t>
      </w:r>
    </w:p>
    <w:p w:rsidR="00025A27" w:rsidRDefault="00025A27" w:rsidP="00025A27">
      <w:pPr>
        <w:pStyle w:val="podpissedlak"/>
      </w:pPr>
      <w:r>
        <w:t>przez menedżerów w 2018 roku</w:t>
      </w:r>
    </w:p>
    <w:p w:rsidR="00025A27" w:rsidRDefault="00025A27" w:rsidP="00025A27">
      <w:pPr>
        <w:rPr>
          <w:rFonts w:ascii="Helvetica" w:hAnsi="Helvetica" w:cs="Helvetica"/>
          <w:color w:val="2C2C2C"/>
        </w:rPr>
      </w:pPr>
      <w:r>
        <w:rPr>
          <w:rFonts w:asciiTheme="minorHAnsi" w:eastAsiaTheme="minorHAnsi" w:hAnsiTheme="minorHAnsi" w:cstheme="minorBidi"/>
          <w:noProof/>
          <w:color w:val="2C2C2C"/>
          <w:sz w:val="22"/>
          <w:szCs w:val="22"/>
          <w:lang w:eastAsia="pl-PL"/>
        </w:rPr>
        <w:lastRenderedPageBreak/>
        <w:drawing>
          <wp:inline distT="0" distB="0" distL="0" distR="0">
            <wp:extent cx="5838825" cy="3857625"/>
            <wp:effectExtent l="0" t="0" r="9525" b="9525"/>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25A27" w:rsidRDefault="00025A27" w:rsidP="00025A27">
      <w:pPr>
        <w:jc w:val="center"/>
        <w:rPr>
          <w:rFonts w:asciiTheme="minorHAnsi" w:hAnsiTheme="minorHAnsi" w:cstheme="minorBidi"/>
          <w:i/>
          <w:sz w:val="20"/>
        </w:rPr>
      </w:pPr>
      <w:r>
        <w:rPr>
          <w:sz w:val="20"/>
        </w:rPr>
        <w:t xml:space="preserve">Opracowanie na podstawie badania </w:t>
      </w:r>
      <w:r>
        <w:rPr>
          <w:i/>
          <w:sz w:val="20"/>
        </w:rPr>
        <w:t xml:space="preserve">Świadczenia dodatkowe w oczach pracowników w 2018 roku, </w:t>
      </w:r>
      <w:r>
        <w:rPr>
          <w:i/>
          <w:sz w:val="20"/>
        </w:rPr>
        <w:br/>
      </w:r>
      <w:r>
        <w:rPr>
          <w:sz w:val="20"/>
        </w:rPr>
        <w:t xml:space="preserve">Sedlak </w:t>
      </w:r>
      <w:r>
        <w:rPr>
          <w:sz w:val="16"/>
        </w:rPr>
        <w:t>&amp;</w:t>
      </w:r>
      <w:r>
        <w:rPr>
          <w:sz w:val="20"/>
        </w:rPr>
        <w:t xml:space="preserve"> Sedlak</w:t>
      </w:r>
    </w:p>
    <w:p w:rsidR="00025A27" w:rsidRDefault="00025A27" w:rsidP="00025A27">
      <w:pPr>
        <w:jc w:val="center"/>
        <w:rPr>
          <w:sz w:val="20"/>
        </w:rPr>
      </w:pPr>
    </w:p>
    <w:p w:rsidR="00025A27" w:rsidRDefault="00025A27" w:rsidP="00025A27">
      <w:pPr>
        <w:pStyle w:val="podtytusedlak"/>
      </w:pPr>
      <w:r>
        <w:t>Marzenia</w:t>
      </w:r>
    </w:p>
    <w:p w:rsidR="00025A27" w:rsidRDefault="00025A27" w:rsidP="00025A27">
      <w:pPr>
        <w:pStyle w:val="tekstsedalk"/>
      </w:pPr>
      <w:r>
        <w:t>Kierowników biorących udział w raporcie spytaliśmy również o ich preferencje dotyczące benefitów. Upodobania osób na stanowiskach kierowniczych nieco odbiegają od oferty pracodawców. Pozostają jednak takie same jak preferencje pracowników na wszystkich szczeblach. Najbardziej pożądanym benefitem okazał się rozszerzony pakiet opieki medycznej. Przez 51,4% ankietowanych został on uznany za najbardziej atrakcyjny. Na drugim miejscu znalazł się samochód służbowy do użytku prywatnego – 34,1%. Na trzecim – opieka stomatologiczna (19,9%).</w:t>
      </w:r>
    </w:p>
    <w:p w:rsidR="00025A27" w:rsidRDefault="00025A27" w:rsidP="00025A27">
      <w:pPr>
        <w:pStyle w:val="tekstsedalk"/>
      </w:pPr>
    </w:p>
    <w:p w:rsidR="00025A27" w:rsidRDefault="00025A27" w:rsidP="00025A27">
      <w:pPr>
        <w:pStyle w:val="podpissedlak"/>
      </w:pPr>
      <w:r>
        <w:t>Wykres 2. Najbardziej pożądane świadczenia dodatkowe w 2018 roku</w:t>
      </w:r>
    </w:p>
    <w:p w:rsidR="00025A27" w:rsidRDefault="00025A27" w:rsidP="00025A27">
      <w:pPr>
        <w:jc w:val="center"/>
        <w:rPr>
          <w:i/>
          <w:sz w:val="20"/>
        </w:rPr>
      </w:pPr>
      <w:r>
        <w:rPr>
          <w:rFonts w:asciiTheme="minorHAnsi" w:eastAsiaTheme="minorHAnsi" w:hAnsiTheme="minorHAnsi" w:cstheme="minorBidi"/>
          <w:noProof/>
          <w:color w:val="2C2C2C"/>
          <w:sz w:val="22"/>
          <w:szCs w:val="22"/>
          <w:lang w:eastAsia="pl-PL"/>
        </w:rPr>
        <w:lastRenderedPageBreak/>
        <w:drawing>
          <wp:inline distT="0" distB="0" distL="0" distR="0">
            <wp:extent cx="5838825" cy="4257675"/>
            <wp:effectExtent l="0" t="0" r="9525" b="9525"/>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sz w:val="20"/>
        </w:rPr>
        <w:t xml:space="preserve">Opracowanie na podstawie badania </w:t>
      </w:r>
      <w:r>
        <w:rPr>
          <w:i/>
          <w:sz w:val="20"/>
        </w:rPr>
        <w:t xml:space="preserve">Świadczenia dodatkowe w oczach pracowników w 2018 roku, </w:t>
      </w:r>
      <w:r>
        <w:rPr>
          <w:i/>
          <w:sz w:val="20"/>
        </w:rPr>
        <w:br/>
      </w:r>
      <w:r>
        <w:rPr>
          <w:sz w:val="20"/>
        </w:rPr>
        <w:t xml:space="preserve">Sedlak </w:t>
      </w:r>
      <w:r>
        <w:rPr>
          <w:sz w:val="16"/>
        </w:rPr>
        <w:t>&amp;</w:t>
      </w:r>
      <w:r>
        <w:rPr>
          <w:sz w:val="20"/>
        </w:rPr>
        <w:t xml:space="preserve"> Sedlak</w:t>
      </w:r>
    </w:p>
    <w:p w:rsidR="00025A27" w:rsidRDefault="00025A27" w:rsidP="00025A27">
      <w:pPr>
        <w:rPr>
          <w:rFonts w:ascii="Helvetica" w:hAnsi="Helvetica" w:cs="Helvetica"/>
          <w:color w:val="2C2C2C"/>
          <w:sz w:val="22"/>
        </w:rPr>
      </w:pPr>
    </w:p>
    <w:p w:rsidR="00025A27" w:rsidRDefault="00025A27" w:rsidP="00025A27">
      <w:pPr>
        <w:rPr>
          <w:rFonts w:ascii="Helvetica" w:hAnsi="Helvetica" w:cs="Helvetica"/>
          <w:color w:val="2C2C2C"/>
          <w:sz w:val="22"/>
        </w:rPr>
      </w:pPr>
      <w:r>
        <w:rPr>
          <w:rFonts w:ascii="Helvetica" w:hAnsi="Helvetica" w:cs="Helvetica"/>
          <w:color w:val="2C2C2C"/>
          <w:sz w:val="22"/>
        </w:rPr>
        <w:t>__________________________________________________________________________</w:t>
      </w:r>
    </w:p>
    <w:p w:rsidR="00025A27" w:rsidRDefault="00025A27" w:rsidP="00025A27">
      <w:pPr>
        <w:jc w:val="center"/>
        <w:rPr>
          <w:rFonts w:ascii="Helvetica" w:hAnsi="Helvetica" w:cs="Helvetica"/>
          <w:color w:val="2C2C2C"/>
          <w:sz w:val="22"/>
        </w:rPr>
      </w:pPr>
    </w:p>
    <w:p w:rsidR="00025A27" w:rsidRDefault="00025A27" w:rsidP="00025A27">
      <w:pPr>
        <w:pStyle w:val="tekstsedalk"/>
        <w:rPr>
          <w:rFonts w:asciiTheme="minorHAnsi" w:hAnsiTheme="minorHAnsi" w:cstheme="minorBidi"/>
        </w:rPr>
      </w:pPr>
      <w:r>
        <w:t xml:space="preserve">Powyższy tekst stanowi </w:t>
      </w:r>
      <w:r>
        <w:rPr>
          <w:b/>
          <w:bCs/>
        </w:rPr>
        <w:t>streszczenie artykułu</w:t>
      </w:r>
      <w:r>
        <w:t>. W dalszej jego części omówiliśmy:</w:t>
      </w:r>
    </w:p>
    <w:p w:rsidR="00025A27" w:rsidRDefault="00025A27" w:rsidP="00025A27">
      <w:pPr>
        <w:pStyle w:val="tekstsedalk"/>
        <w:rPr>
          <w:rFonts w:ascii="Times New Roman" w:hAnsi="Times New Roman"/>
        </w:rPr>
      </w:pPr>
      <w:r>
        <w:t>- współfinansowani</w:t>
      </w:r>
      <w:r>
        <w:rPr>
          <w:color w:val="1F497D"/>
        </w:rPr>
        <w:t>e</w:t>
      </w:r>
      <w:r>
        <w:t xml:space="preserve"> świadczeń dodatkowych, </w:t>
      </w:r>
    </w:p>
    <w:p w:rsidR="00025A27" w:rsidRDefault="00025A27" w:rsidP="00025A27">
      <w:pPr>
        <w:pStyle w:val="tekstsedalk"/>
        <w:rPr>
          <w:rFonts w:asciiTheme="minorHAnsi" w:hAnsiTheme="minorHAnsi" w:cstheme="minorBidi"/>
          <w:lang w:eastAsia="en-US"/>
        </w:rPr>
      </w:pPr>
      <w:r>
        <w:t>- wartoś</w:t>
      </w:r>
      <w:r>
        <w:rPr>
          <w:color w:val="1F497D"/>
        </w:rPr>
        <w:t>ć</w:t>
      </w:r>
      <w:r>
        <w:t xml:space="preserve"> pakietu benefitów, </w:t>
      </w:r>
    </w:p>
    <w:p w:rsidR="00025A27" w:rsidRDefault="00025A27" w:rsidP="00025A27">
      <w:pPr>
        <w:pStyle w:val="tekstsedalk"/>
      </w:pPr>
      <w:r>
        <w:t>- satysfakcj</w:t>
      </w:r>
      <w:r>
        <w:rPr>
          <w:color w:val="1F497D"/>
        </w:rPr>
        <w:t>ę</w:t>
      </w:r>
      <w:r>
        <w:t xml:space="preserve"> z benefitów. </w:t>
      </w:r>
    </w:p>
    <w:p w:rsidR="00025A27" w:rsidRDefault="00025A27" w:rsidP="00025A27">
      <w:pPr>
        <w:pStyle w:val="tekstsedalk"/>
      </w:pPr>
    </w:p>
    <w:p w:rsidR="00025A27" w:rsidRDefault="00025A27" w:rsidP="00025A27">
      <w:pPr>
        <w:pStyle w:val="Bezodstpw"/>
        <w:jc w:val="center"/>
        <w:rPr>
          <w:b/>
          <w:bCs/>
          <w:sz w:val="24"/>
          <w:szCs w:val="24"/>
        </w:rPr>
      </w:pPr>
      <w:r>
        <w:rPr>
          <w:b/>
          <w:bCs/>
          <w:sz w:val="24"/>
          <w:szCs w:val="24"/>
        </w:rPr>
        <w:t xml:space="preserve">Jeżeli jesteście Państwo zainteresowani publikacją pełnej wersji artykułu, </w:t>
      </w:r>
    </w:p>
    <w:p w:rsidR="00025A27" w:rsidRDefault="00025A27" w:rsidP="00025A27">
      <w:pPr>
        <w:pStyle w:val="Bezodstpw"/>
        <w:jc w:val="center"/>
        <w:rPr>
          <w:sz w:val="20"/>
        </w:rPr>
      </w:pPr>
      <w:r>
        <w:rPr>
          <w:b/>
          <w:sz w:val="24"/>
        </w:rPr>
        <w:t>zapraszamy do </w:t>
      </w:r>
      <w:hyperlink r:id="rId12" w:history="1">
        <w:r>
          <w:rPr>
            <w:rStyle w:val="Hipercze"/>
            <w:b/>
            <w:sz w:val="24"/>
            <w:szCs w:val="26"/>
          </w:rPr>
          <w:t>kontaktu z redakcją</w:t>
        </w:r>
        <w:r>
          <w:rPr>
            <w:rStyle w:val="Hipercze"/>
            <w:b/>
            <w:sz w:val="28"/>
            <w:szCs w:val="26"/>
          </w:rPr>
          <w:t>.</w:t>
        </w:r>
      </w:hyperlink>
    </w:p>
    <w:p w:rsidR="00E52BE5" w:rsidRPr="00E52BE5" w:rsidRDefault="00E52BE5" w:rsidP="00E52BE5">
      <w:pPr>
        <w:spacing w:line="276" w:lineRule="auto"/>
        <w:jc w:val="both"/>
        <w:rPr>
          <w:rFonts w:ascii="Calibri" w:hAnsi="Calibri"/>
          <w:szCs w:val="22"/>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32385</wp:posOffset>
                </wp:positionV>
                <wp:extent cx="5734050" cy="45719"/>
                <wp:effectExtent l="0" t="0" r="19050" b="311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5719"/>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EA5767" id="_x0000_t32" coordsize="21600,21600" o:spt="32" o:oned="t" path="m,l21600,21600e" filled="f">
                <v:path arrowok="t" fillok="f" o:connecttype="none"/>
                <o:lock v:ext="edit" shapetype="t"/>
              </v:shapetype>
              <v:shape id="AutoShape 5" o:spid="_x0000_s1026" type="#_x0000_t32" style="position:absolute;margin-left:400.3pt;margin-top:2.55pt;width:451.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" strokecolor="#54628d" strokeweight="1.5pt">
                <w10:wrap anchorx="margin"/>
              </v:shape>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5"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816937">
      <w:headerReference w:type="default" r:id="rId16"/>
      <w:footerReference w:type="default" r:id="rId17"/>
      <w:pgSz w:w="11906" w:h="16838"/>
      <w:pgMar w:top="1950" w:right="1418" w:bottom="1985" w:left="141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5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55649"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25A2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16937"/>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5649"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 w:type="character" w:customStyle="1" w:styleId="TytuSedlakZnak0">
    <w:name w:val="Tytuł_Sedlak Znak"/>
    <w:basedOn w:val="Domylnaczcionkaakapitu"/>
    <w:link w:val="TytuSedlak0"/>
    <w:locked/>
    <w:rsid w:val="00025A27"/>
    <w:rPr>
      <w:b/>
      <w:caps/>
      <w:color w:val="002060"/>
      <w:sz w:val="32"/>
      <w:szCs w:val="32"/>
    </w:rPr>
  </w:style>
  <w:style w:type="paragraph" w:customStyle="1" w:styleId="TytuSedlak0">
    <w:name w:val="Tytuł_Sedlak"/>
    <w:basedOn w:val="Normalny"/>
    <w:link w:val="TytuSedlakZnak0"/>
    <w:autoRedefine/>
    <w:qFormat/>
    <w:rsid w:val="00025A27"/>
    <w:pPr>
      <w:spacing w:line="276" w:lineRule="auto"/>
      <w:jc w:val="center"/>
    </w:pPr>
    <w:rPr>
      <w:rFonts w:ascii="Calibri" w:eastAsia="Calibri" w:hAnsi="Calibri"/>
      <w:b/>
      <w:caps/>
      <w:color w:val="002060"/>
      <w:sz w:val="32"/>
      <w:szCs w:val="32"/>
      <w:lang w:eastAsia="pl-PL"/>
    </w:rPr>
  </w:style>
  <w:style w:type="character" w:customStyle="1" w:styleId="tekstsedalkZnak">
    <w:name w:val="tekst_sedalk Znak"/>
    <w:basedOn w:val="Domylnaczcionkaakapitu"/>
    <w:link w:val="tekstsedalk"/>
    <w:locked/>
    <w:rsid w:val="00025A27"/>
    <w:rPr>
      <w:sz w:val="24"/>
      <w:szCs w:val="26"/>
    </w:rPr>
  </w:style>
  <w:style w:type="paragraph" w:customStyle="1" w:styleId="tekstsedalk">
    <w:name w:val="tekst_sedalk"/>
    <w:basedOn w:val="Normalny"/>
    <w:link w:val="tekstsedalkZnak"/>
    <w:qFormat/>
    <w:rsid w:val="00025A27"/>
    <w:pPr>
      <w:spacing w:line="276" w:lineRule="auto"/>
      <w:jc w:val="both"/>
    </w:pPr>
    <w:rPr>
      <w:rFonts w:ascii="Calibri" w:eastAsia="Calibri" w:hAnsi="Calibri"/>
      <w:szCs w:val="26"/>
      <w:lang w:eastAsia="pl-PL"/>
    </w:rPr>
  </w:style>
  <w:style w:type="character" w:customStyle="1" w:styleId="podpissedlakZnak">
    <w:name w:val="podpis_sedlak Znak"/>
    <w:basedOn w:val="Domylnaczcionkaakapitu"/>
    <w:link w:val="podpissedlak"/>
    <w:locked/>
    <w:rsid w:val="00025A27"/>
    <w:rPr>
      <w:b/>
      <w:color w:val="002060"/>
      <w:sz w:val="24"/>
      <w:szCs w:val="24"/>
    </w:rPr>
  </w:style>
  <w:style w:type="paragraph" w:customStyle="1" w:styleId="podpissedlak">
    <w:name w:val="podpis_sedlak"/>
    <w:basedOn w:val="Akapitzlist"/>
    <w:link w:val="podpissedlakZnak"/>
    <w:autoRedefine/>
    <w:qFormat/>
    <w:rsid w:val="00025A27"/>
    <w:pPr>
      <w:spacing w:line="276" w:lineRule="auto"/>
      <w:ind w:left="0"/>
      <w:jc w:val="center"/>
    </w:pPr>
    <w:rPr>
      <w:rFonts w:ascii="Calibri" w:eastAsia="Calibri" w:hAnsi="Calibri"/>
      <w:b/>
      <w:color w:val="002060"/>
      <w:lang w:eastAsia="pl-PL"/>
    </w:rPr>
  </w:style>
  <w:style w:type="character" w:customStyle="1" w:styleId="podtytusedlakZnak">
    <w:name w:val="podtytuł_sedlak Znak"/>
    <w:basedOn w:val="Domylnaczcionkaakapitu"/>
    <w:link w:val="podtytusedlak"/>
    <w:locked/>
    <w:rsid w:val="00025A27"/>
    <w:rPr>
      <w:b/>
      <w:color w:val="002060"/>
      <w:sz w:val="26"/>
      <w:szCs w:val="26"/>
    </w:rPr>
  </w:style>
  <w:style w:type="paragraph" w:customStyle="1" w:styleId="podtytusedlak">
    <w:name w:val="podtytuł_sedlak"/>
    <w:basedOn w:val="Normalny"/>
    <w:link w:val="podtytusedlakZnak"/>
    <w:qFormat/>
    <w:rsid w:val="00025A27"/>
    <w:pPr>
      <w:spacing w:line="276" w:lineRule="auto"/>
      <w:jc w:val="both"/>
    </w:pPr>
    <w:rPr>
      <w:rFonts w:ascii="Calibri" w:eastAsia="Calibri" w:hAnsi="Calibri"/>
      <w:b/>
      <w:color w:val="002060"/>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2704100">
      <w:bodyDiv w:val="1"/>
      <w:marLeft w:val="0"/>
      <w:marRight w:val="0"/>
      <w:marTop w:val="0"/>
      <w:marBottom w:val="0"/>
      <w:divBdr>
        <w:top w:val="none" w:sz="0" w:space="0" w:color="auto"/>
        <w:left w:val="none" w:sz="0" w:space="0" w:color="auto"/>
        <w:bottom w:val="none" w:sz="0" w:space="0" w:color="auto"/>
        <w:right w:val="none" w:sz="0" w:space="0" w:color="auto"/>
      </w:divBdr>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ynagrodzeni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ynagrodzenia.pl/kontak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wynagrodzenia.pl/t/ogolnopolskie-badanie-wynagrodzen-np"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Arkusz1!$B$1</c:f>
              <c:strCache>
                <c:ptCount val="1"/>
                <c:pt idx="0">
                  <c:v>Seria 1</c:v>
                </c:pt>
              </c:strCache>
            </c:strRef>
          </c:tx>
          <c:spPr>
            <a:solidFill>
              <a:srgbClr val="7F7F7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Calibri" panose="020F0502020204030204" pitchFamily="34" charset="0"/>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Arkusz1!$A$2:$A$9</c:f>
              <c:strCache>
                <c:ptCount val="8"/>
                <c:pt idx="0">
                  <c:v>podstawowy pakiet opieki medycznej </c:v>
                </c:pt>
                <c:pt idx="1">
                  <c:v>szkolenia językowe</c:v>
                </c:pt>
                <c:pt idx="2">
                  <c:v>szkolenia, kursy zawodowe</c:v>
                </c:pt>
                <c:pt idx="3">
                  <c:v>ubezpieczenie na życie</c:v>
                </c:pt>
                <c:pt idx="4">
                  <c:v>rozszerzony pakiet opieki medycznej</c:v>
                </c:pt>
                <c:pt idx="5">
                  <c:v>komputer służbowy do użytku prywatnego</c:v>
                </c:pt>
                <c:pt idx="6">
                  <c:v>karnety na siłownie, do klubów fitness</c:v>
                </c:pt>
                <c:pt idx="7">
                  <c:v>telefon służbowy do użytku prywatnego</c:v>
                </c:pt>
              </c:strCache>
            </c:strRef>
          </c:cat>
          <c:val>
            <c:numRef>
              <c:f>Arkusz1!$B$2:$B$9</c:f>
              <c:numCache>
                <c:formatCode>0.0%</c:formatCode>
                <c:ptCount val="8"/>
                <c:pt idx="0">
                  <c:v>0.36192468619246859</c:v>
                </c:pt>
                <c:pt idx="1">
                  <c:v>0.36192468619246859</c:v>
                </c:pt>
                <c:pt idx="2">
                  <c:v>0.43514644351464432</c:v>
                </c:pt>
                <c:pt idx="3">
                  <c:v>0.44351464435146448</c:v>
                </c:pt>
                <c:pt idx="4">
                  <c:v>0.47489539748953974</c:v>
                </c:pt>
                <c:pt idx="5">
                  <c:v>0.49372384937238495</c:v>
                </c:pt>
                <c:pt idx="6">
                  <c:v>0.53765690376569042</c:v>
                </c:pt>
                <c:pt idx="7">
                  <c:v>0.60460251046025104</c:v>
                </c:pt>
              </c:numCache>
            </c:numRef>
          </c:val>
          <c:extLst xmlns:c16r2="http://schemas.microsoft.com/office/drawing/2015/06/chart">
            <c:ext xmlns:c16="http://schemas.microsoft.com/office/drawing/2014/chart" uri="{C3380CC4-5D6E-409C-BE32-E72D297353CC}">
              <c16:uniqueId val="{00000000-04A1-4F9E-A139-51120E367FCD}"/>
            </c:ext>
          </c:extLst>
        </c:ser>
        <c:dLbls>
          <c:showLegendKey val="0"/>
          <c:showVal val="0"/>
          <c:showCatName val="0"/>
          <c:showSerName val="0"/>
          <c:showPercent val="0"/>
          <c:showBubbleSize val="0"/>
        </c:dLbls>
        <c:gapWidth val="182"/>
        <c:axId val="303657088"/>
        <c:axId val="303659832"/>
      </c:barChart>
      <c:catAx>
        <c:axId val="303657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Calibri" panose="020F0502020204030204" pitchFamily="34" charset="0"/>
                <a:ea typeface="+mn-ea"/>
                <a:cs typeface="+mn-cs"/>
              </a:defRPr>
            </a:pPr>
            <a:endParaRPr lang="pl-PL"/>
          </a:p>
        </c:txPr>
        <c:crossAx val="303659832"/>
        <c:crosses val="autoZero"/>
        <c:auto val="1"/>
        <c:lblAlgn val="ctr"/>
        <c:lblOffset val="100"/>
        <c:noMultiLvlLbl val="0"/>
      </c:catAx>
      <c:valAx>
        <c:axId val="303659832"/>
        <c:scaling>
          <c:orientation val="minMax"/>
        </c:scaling>
        <c:delete val="0"/>
        <c:axPos val="b"/>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Calibri" panose="020F0502020204030204" pitchFamily="34" charset="0"/>
                <a:ea typeface="+mn-ea"/>
                <a:cs typeface="+mn-cs"/>
              </a:defRPr>
            </a:pPr>
            <a:endParaRPr lang="pl-PL"/>
          </a:p>
        </c:txPr>
        <c:crossAx val="30365708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Arkusz1!$B$1</c:f>
              <c:strCache>
                <c:ptCount val="1"/>
                <c:pt idx="0">
                  <c:v>Seria 1</c:v>
                </c:pt>
              </c:strCache>
            </c:strRef>
          </c:tx>
          <c:spPr>
            <a:solidFill>
              <a:srgbClr val="93CDDD"/>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Calibri" panose="020F0502020204030204" pitchFamily="34" charset="0"/>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Arkusz1!$A$2:$A$13</c:f>
              <c:strCache>
                <c:ptCount val="12"/>
                <c:pt idx="0">
                  <c:v>szkolenia, kursy zawodowe</c:v>
                </c:pt>
                <c:pt idx="1">
                  <c:v>praca zdalna</c:v>
                </c:pt>
                <c:pt idx="2">
                  <c:v>szkolenia językowe</c:v>
                </c:pt>
                <c:pt idx="3">
                  <c:v>elastyczny czas pracy</c:v>
                </c:pt>
                <c:pt idx="4">
                  <c:v>finansowanie dodatkowej edukacji</c:v>
                </c:pt>
                <c:pt idx="5">
                  <c:v>mentoring/coaching</c:v>
                </c:pt>
                <c:pt idx="6">
                  <c:v>pracowniczy program emerytalny</c:v>
                </c:pt>
                <c:pt idx="7">
                  <c:v>karnety na siłownie, do klubów fitness</c:v>
                </c:pt>
                <c:pt idx="8">
                  <c:v>ubezpieczenie na życie</c:v>
                </c:pt>
                <c:pt idx="9">
                  <c:v>opieka stomatologiczna </c:v>
                </c:pt>
                <c:pt idx="10">
                  <c:v>samochód służbowy do użytku prywatnego</c:v>
                </c:pt>
                <c:pt idx="11">
                  <c:v>rozszerzony pakiet opieki medycznej</c:v>
                </c:pt>
              </c:strCache>
            </c:strRef>
          </c:cat>
          <c:val>
            <c:numRef>
              <c:f>Arkusz1!$B$2:$B$13</c:f>
              <c:numCache>
                <c:formatCode>0.00%</c:formatCode>
                <c:ptCount val="12"/>
                <c:pt idx="0">
                  <c:v>0.100418410041841</c:v>
                </c:pt>
                <c:pt idx="1">
                  <c:v>0.11297071129707113</c:v>
                </c:pt>
                <c:pt idx="2">
                  <c:v>0.11715481171548117</c:v>
                </c:pt>
                <c:pt idx="3">
                  <c:v>0.11715481171548117</c:v>
                </c:pt>
                <c:pt idx="4">
                  <c:v>0.12552301255230125</c:v>
                </c:pt>
                <c:pt idx="5">
                  <c:v>0.12552301255230125</c:v>
                </c:pt>
                <c:pt idx="6">
                  <c:v>0.17782426778242677</c:v>
                </c:pt>
                <c:pt idx="7">
                  <c:v>0.1799163179916318</c:v>
                </c:pt>
                <c:pt idx="8">
                  <c:v>0.18828451882845187</c:v>
                </c:pt>
                <c:pt idx="9">
                  <c:v>0.19874476987447701</c:v>
                </c:pt>
                <c:pt idx="10">
                  <c:v>0.34100418410041838</c:v>
                </c:pt>
                <c:pt idx="11">
                  <c:v>0.5146443514644351</c:v>
                </c:pt>
              </c:numCache>
            </c:numRef>
          </c:val>
          <c:extLst xmlns:c16r2="http://schemas.microsoft.com/office/drawing/2015/06/chart">
            <c:ext xmlns:c16="http://schemas.microsoft.com/office/drawing/2014/chart" uri="{C3380CC4-5D6E-409C-BE32-E72D297353CC}">
              <c16:uniqueId val="{00000000-FE1A-45C8-8D99-D61FED22DA1D}"/>
            </c:ext>
          </c:extLst>
        </c:ser>
        <c:dLbls>
          <c:showLegendKey val="0"/>
          <c:showVal val="0"/>
          <c:showCatName val="0"/>
          <c:showSerName val="0"/>
          <c:showPercent val="0"/>
          <c:showBubbleSize val="0"/>
        </c:dLbls>
        <c:gapWidth val="182"/>
        <c:axId val="303661400"/>
        <c:axId val="303663752"/>
      </c:barChart>
      <c:catAx>
        <c:axId val="3036614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Calibri" panose="020F0502020204030204" pitchFamily="34" charset="0"/>
                <a:ea typeface="+mn-ea"/>
                <a:cs typeface="+mn-cs"/>
              </a:defRPr>
            </a:pPr>
            <a:endParaRPr lang="pl-PL"/>
          </a:p>
        </c:txPr>
        <c:crossAx val="303663752"/>
        <c:crosses val="autoZero"/>
        <c:auto val="1"/>
        <c:lblAlgn val="ctr"/>
        <c:lblOffset val="100"/>
        <c:noMultiLvlLbl val="0"/>
      </c:catAx>
      <c:valAx>
        <c:axId val="303663752"/>
        <c:scaling>
          <c:orientation val="minMax"/>
        </c:scaling>
        <c:delete val="0"/>
        <c:axPos val="b"/>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Calibri" panose="020F0502020204030204" pitchFamily="34" charset="0"/>
                <a:ea typeface="+mn-ea"/>
                <a:cs typeface="+mn-cs"/>
              </a:defRPr>
            </a:pPr>
            <a:endParaRPr lang="pl-PL"/>
          </a:p>
        </c:txPr>
        <c:crossAx val="30366140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08047-FCA7-44C5-949E-9ACDA42A5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412</Words>
  <Characters>2478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2885</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Kamil Preidl</cp:lastModifiedBy>
  <cp:revision>4</cp:revision>
  <cp:lastPrinted>2016-12-19T13:09:00Z</cp:lastPrinted>
  <dcterms:created xsi:type="dcterms:W3CDTF">2017-02-08T13:22:00Z</dcterms:created>
  <dcterms:modified xsi:type="dcterms:W3CDTF">2018-09-04T07:49:00Z</dcterms:modified>
</cp:coreProperties>
</file>