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72122B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10</w:t>
      </w:r>
      <w:r w:rsidR="008543EC">
        <w:rPr>
          <w:rFonts w:asciiTheme="minorHAnsi" w:hAnsiTheme="minorHAnsi"/>
          <w:b w:val="0"/>
          <w:bCs w:val="0"/>
          <w:sz w:val="20"/>
        </w:rPr>
        <w:t>.</w:t>
      </w:r>
      <w:r>
        <w:rPr>
          <w:rFonts w:asciiTheme="minorHAnsi" w:hAnsiTheme="minorHAnsi"/>
          <w:b w:val="0"/>
          <w:bCs w:val="0"/>
          <w:sz w:val="20"/>
        </w:rPr>
        <w:t>10</w:t>
      </w:r>
      <w:r w:rsidR="002C7449">
        <w:rPr>
          <w:rFonts w:asciiTheme="minorHAnsi" w:hAnsiTheme="minorHAnsi"/>
          <w:b w:val="0"/>
          <w:bCs w:val="0"/>
          <w:sz w:val="20"/>
        </w:rPr>
        <w:t>.2017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60798EDB" wp14:editId="326A5B19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FB796D" w:rsidRPr="00A217F4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Konrad Akowacz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FB796D">
        <w:rPr>
          <w:rFonts w:asciiTheme="minorHAnsi" w:hAnsiTheme="minorHAnsi"/>
        </w:rPr>
        <w:t>511 057</w:t>
      </w:r>
      <w:r w:rsidR="00BE15EA" w:rsidRPr="00A217F4">
        <w:rPr>
          <w:rFonts w:asciiTheme="minorHAnsi" w:hAnsiTheme="minorHAnsi"/>
        </w:rPr>
        <w:t> </w:t>
      </w:r>
      <w:r w:rsidR="00FB796D">
        <w:rPr>
          <w:rFonts w:asciiTheme="minorHAnsi" w:hAnsiTheme="minorHAnsi"/>
        </w:rPr>
        <w:t>700</w:t>
      </w:r>
    </w:p>
    <w:p w:rsidR="006D03DA" w:rsidRDefault="00351994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B24BD8" w:rsidRPr="0066113B">
          <w:rPr>
            <w:rStyle w:val="Hipercze"/>
            <w:rFonts w:asciiTheme="minorHAnsi" w:hAnsiTheme="minorHAnsi" w:cs="Arial"/>
            <w:sz w:val="20"/>
          </w:rPr>
          <w:t>akowacz@sedlak.pl</w:t>
        </w:r>
      </w:hyperlink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681531" w:rsidRPr="00A217F4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8543EC" w:rsidRDefault="0072122B" w:rsidP="008543EC">
      <w:pPr>
        <w:jc w:val="center"/>
        <w:rPr>
          <w:rFonts w:asciiTheme="minorHAnsi" w:hAnsiTheme="minorHAnsi" w:cstheme="minorHAnsi"/>
          <w:b/>
          <w:color w:val="002060"/>
          <w:sz w:val="36"/>
        </w:rPr>
      </w:pPr>
      <w:r w:rsidRPr="0072122B">
        <w:rPr>
          <w:rFonts w:asciiTheme="minorHAnsi" w:hAnsiTheme="minorHAnsi" w:cstheme="minorHAnsi"/>
          <w:b/>
          <w:color w:val="002060"/>
          <w:sz w:val="36"/>
        </w:rPr>
        <w:t>Programy motywacyjne opart</w:t>
      </w:r>
      <w:r w:rsidR="00351994">
        <w:rPr>
          <w:rFonts w:asciiTheme="minorHAnsi" w:hAnsiTheme="minorHAnsi" w:cstheme="minorHAnsi"/>
          <w:b/>
          <w:color w:val="002060"/>
          <w:sz w:val="36"/>
        </w:rPr>
        <w:t>e</w:t>
      </w:r>
      <w:bookmarkStart w:id="0" w:name="_GoBack"/>
      <w:bookmarkEnd w:id="0"/>
      <w:r w:rsidRPr="0072122B">
        <w:rPr>
          <w:rFonts w:asciiTheme="minorHAnsi" w:hAnsiTheme="minorHAnsi" w:cstheme="minorHAnsi"/>
          <w:b/>
          <w:color w:val="002060"/>
          <w:sz w:val="36"/>
        </w:rPr>
        <w:t xml:space="preserve"> na jednostkach uczestnictwa</w:t>
      </w:r>
    </w:p>
    <w:p w:rsidR="00B24BD8" w:rsidRPr="008543EC" w:rsidRDefault="00B24BD8" w:rsidP="008543EC">
      <w:pPr>
        <w:jc w:val="center"/>
        <w:rPr>
          <w:rFonts w:asciiTheme="minorHAnsi" w:hAnsiTheme="minorHAnsi" w:cstheme="minorHAnsi"/>
          <w:b/>
          <w:color w:val="002060"/>
          <w:sz w:val="36"/>
        </w:rPr>
      </w:pPr>
    </w:p>
    <w:p w:rsidR="008543EC" w:rsidRPr="008543EC" w:rsidRDefault="008543EC" w:rsidP="008543EC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 xml:space="preserve">W 2016 roku spośród 366 spółek notowanych na GPW w 96 funkcjonowały programy motywacyjne oparte na instrumentach finansowych takich jak akcje, opcje na akcje czy warranty subskrypcyjne (Sedlak &amp; Sedlak, 2017). Jednym z głównych powodów wdrożenia tego typu rozwiązań, jest możliwość rozliczenia przychodu uzyskanego w ramach programu jako przychód z instrumentów finansowych opodatkowany 19% stawką podatku dochodowego. W niniejszym artykule prezentujemy inny sposób na optymalizację wynagrodzeń, a mianowicie wykorzystanie jednostek uczestnictwa w budowie systemów motywacyjnych.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  <w:b/>
          <w:color w:val="002060"/>
        </w:rPr>
      </w:pPr>
      <w:r w:rsidRPr="0072122B">
        <w:rPr>
          <w:rFonts w:asciiTheme="minorHAnsi" w:hAnsiTheme="minorHAnsi" w:cstheme="minorHAnsi"/>
          <w:b/>
          <w:color w:val="002060"/>
        </w:rPr>
        <w:t>Czym są jednostki uczestnictwa?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Jednostka uczestnictwa stanowi prawo majątkowe, które zrealizowane zostanie w przyszłości (w określonym w umowie terminie) przez rozliczenie pieniężne, a którego cena (wartość) zależeć będzie pośrednio od wartości wybranych wskaźników finansowych. Tak zdefiniowane jednostki uczestnictwa są traktowane przez organy podatkowe jako pochodne instrumenty finansowe. A co za tym idzie w rozumieniu ustawy o PIT stanowią przychód z kapitałów pieniężnych (art. 17 ust. 1 pkt 10 Ustawy o PIT) podlegający opodatkowaniu z zastosowaniem 19% stawki podatkowej (art. 30b ust. 1 Ustawy o PIT).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  <w:b/>
          <w:color w:val="002060"/>
        </w:rPr>
      </w:pPr>
      <w:r w:rsidRPr="0072122B">
        <w:rPr>
          <w:rFonts w:asciiTheme="minorHAnsi" w:hAnsiTheme="minorHAnsi" w:cstheme="minorHAnsi"/>
          <w:b/>
          <w:color w:val="002060"/>
        </w:rPr>
        <w:t>Założenia programu motywacyjnego opartego na jednostkach uczestnictwa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 xml:space="preserve">Programy oparte na jednostkach uczestnictwa są podobnie konstruowane jak np. programy opcji menedżerskich. W ramach programu pracodawca oferuje wybranej grupie pracowników możliwość otrzymania jednostek uczestnictwa po spełnieniu określonych celów, w wyznaczonym terminie. Jeżeli uczestnicy programu zrealizują wyznaczone cele są uprawnieni do otrzymania określonej ilości jednostek uczestnictwa, które następnie zostają przeliczone do konkretnej wartości pieniężnej.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 xml:space="preserve">Celem takich programów jest stworzenie dodatkowych mechanizmów motywujących uczestników do zwiększenia efektywności pracy i działań podejmowanych na rzecz spółki, które mają zapewnić stały i systematyczny wzrost osiąganych przez spółkę </w:t>
      </w:r>
      <w:r w:rsidRPr="0072122B">
        <w:rPr>
          <w:rFonts w:asciiTheme="minorHAnsi" w:hAnsiTheme="minorHAnsi" w:cstheme="minorHAnsi"/>
        </w:rPr>
        <w:lastRenderedPageBreak/>
        <w:t>przychodów. Najczęściej programy te kierowane są do osób pełniących funkcje kierownicze i zarządzające w przedsiębiorstwie.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  <w:b/>
          <w:color w:val="002060"/>
        </w:rPr>
      </w:pPr>
      <w:r w:rsidRPr="0072122B">
        <w:rPr>
          <w:rFonts w:asciiTheme="minorHAnsi" w:hAnsiTheme="minorHAnsi" w:cstheme="minorHAnsi"/>
          <w:b/>
          <w:color w:val="002060"/>
        </w:rPr>
        <w:t>Etapy realizacji programu motywacyjnego opartego na jednostkach uczestnictwa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Pierwszym i najważniejszym krokiem podczas wdrażania programu opartego na jednostkach uczestnictwa jest konieczność uzyskania pozytywnej interpretacji podatkowej. W tym celu należy skierować pismo do odpowiedniego Urzędu Skarbowego, z wyjaśnieniem mechanizmu działania programu. Tylko po uzyskaniu pozytywnej interpretacji możliwe będzie rozliczanie jednostek jako przychodu z pochodnych instrumentów finansowych.</w:t>
      </w:r>
    </w:p>
    <w:p w:rsid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Kolejnym etapem podczas wdrażania programu jest wybór osób, które będą w nim uczestniczyć. Należy pamiętać, iż program ma na celu maksymalizację wyników organizacji, dlatego najczęściej jest on kierowany do osób zajmujących stanowiska kierownicze lub zarządzające, których wyniki pracy mają związek z wynikami organizacji. Jednakże możliwe jest również skierowanie programu do szerszego grona pracowników. Kolejno następuje zawarcie z osobami uprawnionymi umów o pochodny instrument finansowy, na mocy, których nastąpi powołanie jednostek uczestnictwa. Dzień zawarcia umowy jest zarazem dniem kreacji jednostek uczestnictwa. W umowie określa się m.in.: liczbę przydzielonych jednostek dla każdego uczestnika oraz warunki i kryteria, które uprawniają uczestników do ich otrzymania. Po upływie okresu karencji (czyli okresu pomiędzy dniem zawarcia umowy a dniem realizacji praw z jednostek) następuje zakończenie i rozliczenie programu. Realizacja jednostek uczestnictwa daje uprawnionemu prawo do otrzymania wypłaty gotówkowej, a ich wartość uzależniona jest od wyników finansowych osiągniętych przez spółkę.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spacing w:line="276" w:lineRule="auto"/>
        <w:jc w:val="center"/>
        <w:rPr>
          <w:rFonts w:ascii="Calibri" w:eastAsia="Calibri" w:hAnsi="Calibri" w:cs="Calibri"/>
          <w:b/>
          <w:color w:val="002060"/>
        </w:rPr>
      </w:pPr>
      <w:r w:rsidRPr="0072122B">
        <w:rPr>
          <w:rFonts w:ascii="Calibri" w:eastAsia="Calibri" w:hAnsi="Calibri" w:cs="Calibri"/>
          <w:b/>
          <w:noProof/>
          <w:color w:val="002060"/>
          <w:lang w:eastAsia="pl-PL"/>
        </w:rPr>
        <w:drawing>
          <wp:anchor distT="0" distB="0" distL="114300" distR="114300" simplePos="0" relativeHeight="251659264" behindDoc="1" locked="0" layoutInCell="1" allowOverlap="1" wp14:anchorId="59106F3F" wp14:editId="6688BBEB">
            <wp:simplePos x="0" y="0"/>
            <wp:positionH relativeFrom="margin">
              <wp:align>center</wp:align>
            </wp:positionH>
            <wp:positionV relativeFrom="paragraph">
              <wp:posOffset>429260</wp:posOffset>
            </wp:positionV>
            <wp:extent cx="4048125" cy="2562225"/>
            <wp:effectExtent l="0" t="0" r="0" b="9525"/>
            <wp:wrapTopAndBottom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 w:rsidRPr="0072122B">
        <w:rPr>
          <w:rFonts w:ascii="Calibri" w:eastAsia="Calibri" w:hAnsi="Calibri" w:cs="Calibri"/>
          <w:b/>
          <w:color w:val="002060"/>
        </w:rPr>
        <w:t xml:space="preserve">Schemat 1.Etapy realizacji programu motywacyjnego </w:t>
      </w:r>
      <w:r w:rsidRPr="0072122B">
        <w:rPr>
          <w:rFonts w:ascii="Calibri" w:eastAsia="Calibri" w:hAnsi="Calibri" w:cs="Calibri"/>
          <w:b/>
          <w:color w:val="002060"/>
        </w:rPr>
        <w:br/>
        <w:t>opartego na jednostkach uczestnictwa</w:t>
      </w:r>
    </w:p>
    <w:p w:rsidR="0072122B" w:rsidRPr="0072122B" w:rsidRDefault="0072122B" w:rsidP="0072122B">
      <w:pPr>
        <w:spacing w:line="276" w:lineRule="auto"/>
        <w:jc w:val="center"/>
        <w:rPr>
          <w:rFonts w:ascii="Calibri" w:eastAsia="Calibri" w:hAnsi="Calibri" w:cs="Calibri"/>
          <w:i/>
          <w:sz w:val="20"/>
        </w:rPr>
      </w:pPr>
      <w:r w:rsidRPr="0072122B">
        <w:rPr>
          <w:rFonts w:ascii="Calibri" w:eastAsia="Calibri" w:hAnsi="Calibri" w:cs="Calibri"/>
          <w:i/>
          <w:sz w:val="20"/>
        </w:rPr>
        <w:t xml:space="preserve">Źródło: Opracowanie Sedlak </w:t>
      </w:r>
      <w:r w:rsidRPr="0072122B">
        <w:rPr>
          <w:rFonts w:ascii="Calibri" w:eastAsia="Calibri" w:hAnsi="Calibri" w:cs="Calibri"/>
          <w:i/>
          <w:sz w:val="14"/>
          <w:szCs w:val="18"/>
        </w:rPr>
        <w:t>&amp;</w:t>
      </w:r>
      <w:r w:rsidRPr="0072122B">
        <w:rPr>
          <w:rFonts w:ascii="Calibri" w:eastAsia="Calibri" w:hAnsi="Calibri" w:cs="Calibri"/>
          <w:i/>
          <w:sz w:val="20"/>
        </w:rPr>
        <w:t xml:space="preserve"> Sedlak</w:t>
      </w:r>
    </w:p>
    <w:p w:rsidR="0072122B" w:rsidRPr="0072122B" w:rsidRDefault="0072122B" w:rsidP="0072122B">
      <w:pPr>
        <w:spacing w:line="276" w:lineRule="auto"/>
        <w:jc w:val="both"/>
        <w:rPr>
          <w:rFonts w:ascii="Calibri" w:eastAsia="Calibri" w:hAnsi="Calibri" w:cs="Calibr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 xml:space="preserve">Poniżej prezentujemy przykładowe wskaźniki wykorzystywane w konstruowaniu programów opartych na jednostkach uczestnictwa: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72122B">
        <w:rPr>
          <w:rFonts w:asciiTheme="minorHAnsi" w:hAnsiTheme="minorHAnsi" w:cstheme="minorHAnsi"/>
        </w:rPr>
        <w:t xml:space="preserve">EBIT,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b)</w:t>
      </w:r>
      <w:r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>poziom kosztów pośrednich,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c)</w:t>
      </w:r>
      <w:r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>poziom przychodów ze sprzedaży,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d)</w:t>
      </w:r>
      <w:r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>poziom wskaźnika efektywności finansowej,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e)</w:t>
      </w:r>
      <w:r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 xml:space="preserve">wskaźnik satysfakcji klienta,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f)</w:t>
      </w:r>
      <w:r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>poziom wskaźnika wartości dodanej EVA.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 xml:space="preserve">Wdrożenie w firmie programu motywacyjnego opartego na jednostkach uczestnictwa niesie ze sobą korzyści zarówno dla pracowników jak i pracodawcy. Pracodawca oferując taki program motywuje pracowników do lepszej pracy na rzecz przedsiębiorstwa. Dodatkowo program pełni funkcję retencyjną, gdyż jego uczestnicy w celu otrzymania wypłaty muszą pozostać w firmie do wyznaczonego czasu. Rozwiązanie takie jest także korzystne ze względów finansowych, gdyż pracodawca w chwili uruchomienia programu nie ponosi żadnych wydatków, dopiero w momencie rozliczenia. Natomiast dla pracownika najważniejsza zaletą jest możliwość opodatkowania przychodu z 19% stawką podatku dochodowego. 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  <w:b/>
          <w:i/>
          <w:color w:val="002060"/>
        </w:rPr>
      </w:pPr>
      <w:r w:rsidRPr="0072122B">
        <w:rPr>
          <w:rFonts w:asciiTheme="minorHAnsi" w:hAnsiTheme="minorHAnsi" w:cstheme="minorHAnsi"/>
          <w:b/>
          <w:i/>
          <w:color w:val="002060"/>
        </w:rPr>
        <w:t>Iwona Wabik-Szuba</w:t>
      </w:r>
    </w:p>
    <w:p w:rsidR="0072122B" w:rsidRDefault="0072122B" w:rsidP="0072122B">
      <w:pPr>
        <w:jc w:val="both"/>
        <w:rPr>
          <w:rFonts w:asciiTheme="minorHAnsi" w:hAnsiTheme="minorHAnsi" w:cstheme="minorHAnsi"/>
          <w:b/>
          <w:i/>
          <w:color w:val="002060"/>
        </w:rPr>
      </w:pPr>
      <w:r w:rsidRPr="0072122B">
        <w:rPr>
          <w:rFonts w:asciiTheme="minorHAnsi" w:hAnsiTheme="minorHAnsi" w:cstheme="minorHAnsi"/>
          <w:b/>
          <w:i/>
          <w:color w:val="002060"/>
        </w:rPr>
        <w:t xml:space="preserve">Sedlak &amp; Sedlak </w:t>
      </w:r>
    </w:p>
    <w:p w:rsidR="00B05348" w:rsidRDefault="00B05348" w:rsidP="0072122B">
      <w:pPr>
        <w:jc w:val="both"/>
        <w:rPr>
          <w:rFonts w:asciiTheme="minorHAnsi" w:hAnsiTheme="minorHAnsi" w:cstheme="minorHAnsi"/>
          <w:b/>
          <w:i/>
          <w:color w:val="002060"/>
        </w:rPr>
      </w:pPr>
    </w:p>
    <w:p w:rsidR="00B05348" w:rsidRPr="0072122B" w:rsidRDefault="00B05348" w:rsidP="0072122B">
      <w:pPr>
        <w:jc w:val="both"/>
        <w:rPr>
          <w:rFonts w:asciiTheme="minorHAnsi" w:hAnsiTheme="minorHAnsi" w:cstheme="minorHAnsi"/>
          <w:b/>
          <w:i/>
          <w:color w:val="002060"/>
        </w:rPr>
      </w:pP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</w:p>
    <w:p w:rsidR="0072122B" w:rsidRPr="00B05348" w:rsidRDefault="0072122B" w:rsidP="0072122B">
      <w:pPr>
        <w:jc w:val="both"/>
        <w:rPr>
          <w:rFonts w:asciiTheme="minorHAnsi" w:hAnsiTheme="minorHAnsi" w:cstheme="minorHAnsi"/>
          <w:b/>
          <w:color w:val="002060"/>
        </w:rPr>
      </w:pPr>
      <w:r w:rsidRPr="00B05348">
        <w:rPr>
          <w:rFonts w:asciiTheme="minorHAnsi" w:hAnsiTheme="minorHAnsi" w:cstheme="minorHAnsi"/>
          <w:b/>
          <w:color w:val="002060"/>
        </w:rPr>
        <w:t>Bibliografia:</w:t>
      </w:r>
    </w:p>
    <w:p w:rsidR="0072122B" w:rsidRPr="0072122B" w:rsidRDefault="00AC7F8F" w:rsidP="0072122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72122B" w:rsidRPr="0072122B">
        <w:rPr>
          <w:rFonts w:asciiTheme="minorHAnsi" w:hAnsiTheme="minorHAnsi" w:cstheme="minorHAnsi"/>
        </w:rPr>
        <w:t>Sedlak &amp; Sedlak, „Wynagrodzenia członków zarządów w 2016 roku”, 2017</w:t>
      </w:r>
    </w:p>
    <w:p w:rsidR="0072122B" w:rsidRPr="0072122B" w:rsidRDefault="00AC7F8F" w:rsidP="0072122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72122B" w:rsidRPr="0072122B">
        <w:rPr>
          <w:rFonts w:asciiTheme="minorHAnsi" w:hAnsiTheme="minorHAnsi" w:cstheme="minorHAnsi"/>
        </w:rPr>
        <w:t>Ustawa z dnia 26 lipca 1991 r. o podatku dochodowym od osób fizycznych.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3.</w:t>
      </w:r>
      <w:r w:rsidR="00AC7F8F">
        <w:rPr>
          <w:rFonts w:asciiTheme="minorHAnsi" w:hAnsiTheme="minorHAnsi" w:cstheme="minorHAnsi"/>
        </w:rPr>
        <w:t xml:space="preserve"> </w:t>
      </w:r>
      <w:r w:rsidRPr="0072122B">
        <w:rPr>
          <w:rFonts w:asciiTheme="minorHAnsi" w:hAnsiTheme="minorHAnsi" w:cstheme="minorHAnsi"/>
        </w:rPr>
        <w:t>Ustawa z dnia 29 lipca 2005 r. o obrocie instrumentami finansowymi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4.http://interpretacje-podatkowe.org/pochodne-instrumenty-finansowe/iptpb3-4511-32-15-2-kj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5.http://interpretacje-podatkowe.org/jednostka-uczestnictwa/ilpb1-4511-1-686-15-2-ag</w:t>
      </w:r>
    </w:p>
    <w:p w:rsidR="0072122B" w:rsidRPr="0072122B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6.http://interpretacje-podatkowe.org/pochodne-instrumenty-finansowe/ippb2-4511-397-15-3-pw</w:t>
      </w:r>
    </w:p>
    <w:p w:rsidR="008543EC" w:rsidRPr="008543EC" w:rsidRDefault="0072122B" w:rsidP="0072122B">
      <w:pPr>
        <w:jc w:val="both"/>
        <w:rPr>
          <w:rFonts w:asciiTheme="minorHAnsi" w:hAnsiTheme="minorHAnsi" w:cstheme="minorHAnsi"/>
        </w:rPr>
      </w:pPr>
      <w:r w:rsidRPr="0072122B">
        <w:rPr>
          <w:rFonts w:asciiTheme="minorHAnsi" w:hAnsiTheme="minorHAnsi" w:cstheme="minorHAnsi"/>
        </w:rPr>
        <w:t>7.http://interpretacje-podatkowe.org/pochodne-instrumenty-finansowe/ilpb2-415-1273-14-4-jk</w:t>
      </w:r>
    </w:p>
    <w:p w:rsidR="0000005A" w:rsidRPr="002C7449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681531" w:rsidRDefault="002B358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 w:rsidRPr="0068153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35AB5E" wp14:editId="66FC147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lastRenderedPageBreak/>
        <w:drawing>
          <wp:inline distT="0" distB="0" distL="0" distR="0" wp14:anchorId="6FA9A823" wp14:editId="5AA44C89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linku do strony </w:t>
      </w:r>
      <w:r w:rsidR="00326667">
        <w:rPr>
          <w:rFonts w:asciiTheme="minorHAnsi" w:eastAsia="Calibri" w:hAnsiTheme="minorHAnsi" w:cs="Calibri"/>
          <w:b/>
          <w:sz w:val="22"/>
          <w:lang w:eastAsia="pl-PL"/>
        </w:rPr>
        <w:t>o wynagrodzeniach menedżerów spółek giełdowych: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</w:t>
      </w:r>
    </w:p>
    <w:p w:rsid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="Calibri"/>
          <w:b/>
          <w:sz w:val="22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7" w:history="1">
        <w:r w:rsidR="00326667" w:rsidRPr="008F112C">
          <w:rPr>
            <w:rStyle w:val="Hipercze"/>
          </w:rPr>
          <w:t>http://wynagrodzenia.pl/wynagrodzenia-menedzerow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>)</w:t>
      </w:r>
    </w:p>
    <w:p w:rsidR="003974B4" w:rsidRPr="00326667" w:rsidRDefault="00EA72FE" w:rsidP="00326667">
      <w:pPr>
        <w:autoSpaceDE w:val="0"/>
        <w:autoSpaceDN w:val="0"/>
        <w:adjustRightInd w:val="0"/>
        <w:spacing w:before="240"/>
        <w:jc w:val="both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czcionką nie mniejszą niż czcionka użyta w publikacji. </w:t>
      </w:r>
    </w:p>
    <w:sectPr w:rsidR="003974B4" w:rsidRPr="00326667" w:rsidSect="00E107E8">
      <w:headerReference w:type="default" r:id="rId18"/>
      <w:footerReference w:type="default" r:id="rId19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2A" w:rsidRDefault="0007162A">
      <w:r>
        <w:separator/>
      </w:r>
    </w:p>
  </w:endnote>
  <w:endnote w:type="continuationSeparator" w:id="0">
    <w:p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B49533" wp14:editId="6BCC922D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2A" w:rsidRDefault="0007162A">
      <w:r>
        <w:separator/>
      </w:r>
    </w:p>
  </w:footnote>
  <w:footnote w:type="continuationSeparator" w:id="0">
    <w:p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D237895" wp14:editId="64D5CCB6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91B4120" wp14:editId="259E4EC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425"/>
  <w:characterSpacingControl w:val="doNotCompress"/>
  <w:hdrShapeDefaults>
    <o:shapedefaults v:ext="edit" spidmax="17817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2C2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3534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8BC"/>
    <w:rsid w:val="002B3C18"/>
    <w:rsid w:val="002B6682"/>
    <w:rsid w:val="002C2CB9"/>
    <w:rsid w:val="002C744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1994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0E4B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2122B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543EC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C7F8F"/>
    <w:rsid w:val="00AD74D7"/>
    <w:rsid w:val="00AE62AE"/>
    <w:rsid w:val="00AE6D31"/>
    <w:rsid w:val="00AF051F"/>
    <w:rsid w:val="00B01964"/>
    <w:rsid w:val="00B02B18"/>
    <w:rsid w:val="00B0534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24BD8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16140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2E27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paragraph" w:styleId="NormalnyWeb">
    <w:name w:val="Normal (Web)"/>
    <w:basedOn w:val="Normalny"/>
    <w:uiPriority w:val="99"/>
    <w:unhideWhenUsed/>
    <w:rsid w:val="00F52E27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F52E27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2C744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customStyle="1" w:styleId="PodtytuSedlak">
    <w:name w:val="PodtytułSedlak"/>
    <w:basedOn w:val="Normalny"/>
    <w:qFormat/>
    <w:rsid w:val="002C7449"/>
    <w:pPr>
      <w:spacing w:line="276" w:lineRule="auto"/>
      <w:jc w:val="both"/>
    </w:pPr>
    <w:rPr>
      <w:rFonts w:asciiTheme="minorHAnsi" w:eastAsiaTheme="minorEastAsia" w:hAnsiTheme="minorHAnsi" w:cs="Arial"/>
      <w:b/>
      <w:color w:val="002060"/>
      <w:sz w:val="26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24B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hyperlink" Target="http://wynagrodzenia.pl/wynagrodzenia-menedzerow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yperlink" Target="http://www.wynagrodzenia.pl/" TargetMode="External"/><Relationship Id="rId10" Type="http://schemas.openxmlformats.org/officeDocument/2006/relationships/diagramData" Target="diagrams/data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kowacz@sedlak.pl" TargetMode="Externa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9BF71E-E2E8-4A9A-A1F9-6FF490948E99}" type="doc">
      <dgm:prSet loTypeId="urn:microsoft.com/office/officeart/2005/8/layout/process2" loCatId="process" qsTypeId="urn:microsoft.com/office/officeart/2005/8/quickstyle/simple1" qsCatId="simple" csTypeId="urn:microsoft.com/office/officeart/2005/8/colors/colorful5" csCatId="colorful" phldr="1"/>
      <dgm:spPr/>
    </dgm:pt>
    <dgm:pt modelId="{9168BE29-30DB-4296-BDBA-1999399A0300}">
      <dgm:prSet phldrT="[Tekst]" custT="1"/>
      <dgm:spPr>
        <a:xfrm>
          <a:off x="201809" y="549941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1838336"/>
            <a:satOff val="-2557"/>
            <a:lumOff val="-98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II. Wybór osób objętych programem </a:t>
          </a:r>
        </a:p>
      </dgm:t>
    </dgm:pt>
    <dgm:pt modelId="{7AAD1C52-FB48-42E6-B038-519767AE7DA6}" type="parTrans" cxnId="{77F2C291-A31A-4E93-9761-7EB8CE1D1C00}">
      <dgm:prSet/>
      <dgm:spPr/>
      <dgm:t>
        <a:bodyPr/>
        <a:lstStyle/>
        <a:p>
          <a:pPr algn="ctr"/>
          <a:endParaRPr lang="pl-PL"/>
        </a:p>
      </dgm:t>
    </dgm:pt>
    <dgm:pt modelId="{B4010614-FD5F-45AB-8408-ECD6409D1524}" type="sibTrans" cxnId="{77F2C291-A31A-4E93-9761-7EB8CE1D1C00}">
      <dgm:prSet/>
      <dgm:spPr>
        <a:xfrm rot="5400000">
          <a:off x="1955515" y="924666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>
          <a:noFill/>
        </a:ln>
        <a:effectLst/>
      </dgm:spPr>
      <dgm:t>
        <a:bodyPr/>
        <a:lstStyle/>
        <a:p>
          <a:pPr algn="ctr"/>
          <a:endParaRPr lang="pl-PL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5BDE3EEF-E260-4D4D-8ACE-BCB1FFE0E803}">
      <dgm:prSet phldrT="[Tekst]" custT="1"/>
      <dgm:spPr>
        <a:xfrm>
          <a:off x="201809" y="1098319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3676672"/>
            <a:satOff val="-5114"/>
            <a:lumOff val="-196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III. Zawarcie umów o pochodny instrument finansowy </a:t>
          </a:r>
          <a:b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</a:br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 uczestnikami programu </a:t>
          </a:r>
        </a:p>
      </dgm:t>
    </dgm:pt>
    <dgm:pt modelId="{3062ACD3-F64C-4C05-8D4C-9379D77C11DF}" type="parTrans" cxnId="{0182B3A0-9A05-46BB-8756-C7FBF7CE4589}">
      <dgm:prSet/>
      <dgm:spPr/>
      <dgm:t>
        <a:bodyPr/>
        <a:lstStyle/>
        <a:p>
          <a:pPr algn="ctr"/>
          <a:endParaRPr lang="pl-PL"/>
        </a:p>
      </dgm:t>
    </dgm:pt>
    <dgm:pt modelId="{CC98968C-6554-45C5-9EEA-9B1263081703}" type="sibTrans" cxnId="{0182B3A0-9A05-46BB-8756-C7FBF7CE4589}">
      <dgm:prSet/>
      <dgm:spPr>
        <a:xfrm rot="5400000">
          <a:off x="1955515" y="1473044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>
          <a:noFill/>
        </a:ln>
        <a:effectLst/>
      </dgm:spPr>
      <dgm:t>
        <a:bodyPr/>
        <a:lstStyle/>
        <a:p>
          <a:pPr algn="ctr"/>
          <a:endParaRPr lang="pl-PL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E0131754-E5FB-49BB-874B-828708DE5BF7}">
      <dgm:prSet phldrT="[Tekst]" custT="1"/>
      <dgm:spPr>
        <a:xfrm>
          <a:off x="201809" y="1646697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5515009"/>
            <a:satOff val="-7671"/>
            <a:lumOff val="-294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IV. Okres karencji</a:t>
          </a:r>
        </a:p>
      </dgm:t>
    </dgm:pt>
    <dgm:pt modelId="{745A390F-622C-4121-A290-11C63836ECD3}" type="parTrans" cxnId="{C13231C4-80FF-4DA8-B77E-73E9AE70495A}">
      <dgm:prSet/>
      <dgm:spPr/>
      <dgm:t>
        <a:bodyPr/>
        <a:lstStyle/>
        <a:p>
          <a:pPr algn="ctr"/>
          <a:endParaRPr lang="pl-PL"/>
        </a:p>
      </dgm:t>
    </dgm:pt>
    <dgm:pt modelId="{F307ED4B-92E2-4AEB-8207-F04A517C1F81}" type="sibTrans" cxnId="{C13231C4-80FF-4DA8-B77E-73E9AE70495A}">
      <dgm:prSet/>
      <dgm:spPr>
        <a:xfrm rot="5400000">
          <a:off x="1955515" y="2021422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>
          <a:noFill/>
        </a:ln>
        <a:effectLst/>
      </dgm:spPr>
      <dgm:t>
        <a:bodyPr/>
        <a:lstStyle/>
        <a:p>
          <a:pPr algn="ctr"/>
          <a:endParaRPr lang="pl-PL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0A88DDFC-F4A1-43D4-A586-034734C828DF}">
      <dgm:prSet phldrT="[Tekst]" custT="1"/>
      <dgm:spPr>
        <a:xfrm>
          <a:off x="201809" y="2195076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V. Zakończenie i rozliczenie programu</a:t>
          </a:r>
        </a:p>
      </dgm:t>
    </dgm:pt>
    <dgm:pt modelId="{380A691D-8A47-404E-AE4C-3E8E2114CD34}" type="parTrans" cxnId="{FBC832FC-5BE4-459F-9AC6-374996CFB774}">
      <dgm:prSet/>
      <dgm:spPr/>
      <dgm:t>
        <a:bodyPr/>
        <a:lstStyle/>
        <a:p>
          <a:pPr algn="ctr"/>
          <a:endParaRPr lang="pl-PL"/>
        </a:p>
      </dgm:t>
    </dgm:pt>
    <dgm:pt modelId="{F037DC99-1D35-4046-8085-2C9DB93C11E2}" type="sibTrans" cxnId="{FBC832FC-5BE4-459F-9AC6-374996CFB774}">
      <dgm:prSet/>
      <dgm:spPr/>
      <dgm:t>
        <a:bodyPr/>
        <a:lstStyle/>
        <a:p>
          <a:pPr algn="ctr"/>
          <a:endParaRPr lang="pl-PL"/>
        </a:p>
      </dgm:t>
    </dgm:pt>
    <dgm:pt modelId="{E12778C6-A58E-4C33-BCEE-A979C376ABE0}">
      <dgm:prSet phldrT="[Tekst]" custT="1"/>
      <dgm:spPr>
        <a:xfrm>
          <a:off x="201809" y="1563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pl-PL" sz="1200" b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I. Uzyskanie interpretacji z US</a:t>
          </a:r>
        </a:p>
      </dgm:t>
    </dgm:pt>
    <dgm:pt modelId="{3255AABC-0668-4732-AEEC-9956B7A699FD}" type="parTrans" cxnId="{24525941-89A1-4FEE-94E3-A04A9FAC295F}">
      <dgm:prSet/>
      <dgm:spPr/>
      <dgm:t>
        <a:bodyPr/>
        <a:lstStyle/>
        <a:p>
          <a:endParaRPr lang="pl-PL"/>
        </a:p>
      </dgm:t>
    </dgm:pt>
    <dgm:pt modelId="{66E0FC38-3162-4EEE-9626-5CCAB4404248}" type="sibTrans" cxnId="{24525941-89A1-4FEE-94E3-A04A9FAC295F}">
      <dgm:prSet/>
      <dgm:spPr>
        <a:xfrm rot="5400000">
          <a:off x="1955515" y="376288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pl-PL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D3D23EC2-44F4-4693-86A7-9D67C0ED1EC4}" type="pres">
      <dgm:prSet presAssocID="{F29BF71E-E2E8-4A9A-A1F9-6FF490948E99}" presName="linearFlow" presStyleCnt="0">
        <dgm:presLayoutVars>
          <dgm:resizeHandles val="exact"/>
        </dgm:presLayoutVars>
      </dgm:prSet>
      <dgm:spPr/>
    </dgm:pt>
    <dgm:pt modelId="{6A43A213-9259-4DCB-BB53-5F08CC8A628B}" type="pres">
      <dgm:prSet presAssocID="{E12778C6-A58E-4C33-BCEE-A979C376ABE0}" presName="node" presStyleLbl="node1" presStyleIdx="0" presStyleCnt="5" custScaleX="24922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732647D-D348-44CE-8103-AB365B13A14B}" type="pres">
      <dgm:prSet presAssocID="{66E0FC38-3162-4EEE-9626-5CCAB4404248}" presName="sibTrans" presStyleLbl="sibTrans2D1" presStyleIdx="0" presStyleCnt="4"/>
      <dgm:spPr/>
      <dgm:t>
        <a:bodyPr/>
        <a:lstStyle/>
        <a:p>
          <a:endParaRPr lang="pl-PL"/>
        </a:p>
      </dgm:t>
    </dgm:pt>
    <dgm:pt modelId="{DBF08E55-AFA3-4311-ADFA-95751F414A16}" type="pres">
      <dgm:prSet presAssocID="{66E0FC38-3162-4EEE-9626-5CCAB4404248}" presName="connectorText" presStyleLbl="sibTrans2D1" presStyleIdx="0" presStyleCnt="4"/>
      <dgm:spPr/>
      <dgm:t>
        <a:bodyPr/>
        <a:lstStyle/>
        <a:p>
          <a:endParaRPr lang="pl-PL"/>
        </a:p>
      </dgm:t>
    </dgm:pt>
    <dgm:pt modelId="{8C8F3E14-80C4-45E0-A9C6-19ED0802C963}" type="pres">
      <dgm:prSet presAssocID="{9168BE29-30DB-4296-BDBA-1999399A0300}" presName="node" presStyleLbl="node1" presStyleIdx="1" presStyleCnt="5" custScaleX="24922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E8BCD4B-A616-4F14-9D3F-363B108B365F}" type="pres">
      <dgm:prSet presAssocID="{B4010614-FD5F-45AB-8408-ECD6409D1524}" presName="sibTrans" presStyleLbl="sibTrans2D1" presStyleIdx="1" presStyleCnt="4"/>
      <dgm:spPr/>
      <dgm:t>
        <a:bodyPr/>
        <a:lstStyle/>
        <a:p>
          <a:endParaRPr lang="pl-PL"/>
        </a:p>
      </dgm:t>
    </dgm:pt>
    <dgm:pt modelId="{0A3F1F36-75B7-42EF-BA7A-47DED27501CC}" type="pres">
      <dgm:prSet presAssocID="{B4010614-FD5F-45AB-8408-ECD6409D1524}" presName="connectorText" presStyleLbl="sibTrans2D1" presStyleIdx="1" presStyleCnt="4"/>
      <dgm:spPr/>
      <dgm:t>
        <a:bodyPr/>
        <a:lstStyle/>
        <a:p>
          <a:endParaRPr lang="pl-PL"/>
        </a:p>
      </dgm:t>
    </dgm:pt>
    <dgm:pt modelId="{9D2AACB8-97D5-40A0-B486-2A902733AA0D}" type="pres">
      <dgm:prSet presAssocID="{5BDE3EEF-E260-4D4D-8ACE-BCB1FFE0E803}" presName="node" presStyleLbl="node1" presStyleIdx="2" presStyleCnt="5" custScaleX="24922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287D853-6C23-46B9-9415-EDA5B19522A6}" type="pres">
      <dgm:prSet presAssocID="{CC98968C-6554-45C5-9EEA-9B1263081703}" presName="sibTrans" presStyleLbl="sibTrans2D1" presStyleIdx="2" presStyleCnt="4"/>
      <dgm:spPr/>
      <dgm:t>
        <a:bodyPr/>
        <a:lstStyle/>
        <a:p>
          <a:endParaRPr lang="pl-PL"/>
        </a:p>
      </dgm:t>
    </dgm:pt>
    <dgm:pt modelId="{C38249F0-D11E-4972-B5FA-16C8AB98CA76}" type="pres">
      <dgm:prSet presAssocID="{CC98968C-6554-45C5-9EEA-9B1263081703}" presName="connectorText" presStyleLbl="sibTrans2D1" presStyleIdx="2" presStyleCnt="4"/>
      <dgm:spPr/>
      <dgm:t>
        <a:bodyPr/>
        <a:lstStyle/>
        <a:p>
          <a:endParaRPr lang="pl-PL"/>
        </a:p>
      </dgm:t>
    </dgm:pt>
    <dgm:pt modelId="{035415FB-F46B-4173-857F-1D2BE57B2557}" type="pres">
      <dgm:prSet presAssocID="{E0131754-E5FB-49BB-874B-828708DE5BF7}" presName="node" presStyleLbl="node1" presStyleIdx="3" presStyleCnt="5" custScaleX="24922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10D9DC6-ED95-4A64-B85C-7BD24BAB88E2}" type="pres">
      <dgm:prSet presAssocID="{F307ED4B-92E2-4AEB-8207-F04A517C1F81}" presName="sibTrans" presStyleLbl="sibTrans2D1" presStyleIdx="3" presStyleCnt="4"/>
      <dgm:spPr/>
      <dgm:t>
        <a:bodyPr/>
        <a:lstStyle/>
        <a:p>
          <a:endParaRPr lang="pl-PL"/>
        </a:p>
      </dgm:t>
    </dgm:pt>
    <dgm:pt modelId="{17031F38-316B-47DA-9F3C-A97FE2078F64}" type="pres">
      <dgm:prSet presAssocID="{F307ED4B-92E2-4AEB-8207-F04A517C1F81}" presName="connectorText" presStyleLbl="sibTrans2D1" presStyleIdx="3" presStyleCnt="4"/>
      <dgm:spPr/>
      <dgm:t>
        <a:bodyPr/>
        <a:lstStyle/>
        <a:p>
          <a:endParaRPr lang="pl-PL"/>
        </a:p>
      </dgm:t>
    </dgm:pt>
    <dgm:pt modelId="{31595C6F-03FC-4A4F-B56B-FBBB80683FE9}" type="pres">
      <dgm:prSet presAssocID="{0A88DDFC-F4A1-43D4-A586-034734C828DF}" presName="node" presStyleLbl="node1" presStyleIdx="4" presStyleCnt="5" custScaleX="24922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C13231C4-80FF-4DA8-B77E-73E9AE70495A}" srcId="{F29BF71E-E2E8-4A9A-A1F9-6FF490948E99}" destId="{E0131754-E5FB-49BB-874B-828708DE5BF7}" srcOrd="3" destOrd="0" parTransId="{745A390F-622C-4121-A290-11C63836ECD3}" sibTransId="{F307ED4B-92E2-4AEB-8207-F04A517C1F81}"/>
    <dgm:cxn modelId="{ECB5CD9E-53FD-42AD-A968-C5A089C588AD}" type="presOf" srcId="{F307ED4B-92E2-4AEB-8207-F04A517C1F81}" destId="{A10D9DC6-ED95-4A64-B85C-7BD24BAB88E2}" srcOrd="0" destOrd="0" presId="urn:microsoft.com/office/officeart/2005/8/layout/process2"/>
    <dgm:cxn modelId="{EFAD08A6-94C8-4EC0-A5EF-3848D95EFBB5}" type="presOf" srcId="{B4010614-FD5F-45AB-8408-ECD6409D1524}" destId="{2E8BCD4B-A616-4F14-9D3F-363B108B365F}" srcOrd="0" destOrd="0" presId="urn:microsoft.com/office/officeart/2005/8/layout/process2"/>
    <dgm:cxn modelId="{41A3A47B-8EC3-48D5-AEA7-9AC7F2FF29A5}" type="presOf" srcId="{E0131754-E5FB-49BB-874B-828708DE5BF7}" destId="{035415FB-F46B-4173-857F-1D2BE57B2557}" srcOrd="0" destOrd="0" presId="urn:microsoft.com/office/officeart/2005/8/layout/process2"/>
    <dgm:cxn modelId="{24525941-89A1-4FEE-94E3-A04A9FAC295F}" srcId="{F29BF71E-E2E8-4A9A-A1F9-6FF490948E99}" destId="{E12778C6-A58E-4C33-BCEE-A979C376ABE0}" srcOrd="0" destOrd="0" parTransId="{3255AABC-0668-4732-AEEC-9956B7A699FD}" sibTransId="{66E0FC38-3162-4EEE-9626-5CCAB4404248}"/>
    <dgm:cxn modelId="{0182B3A0-9A05-46BB-8756-C7FBF7CE4589}" srcId="{F29BF71E-E2E8-4A9A-A1F9-6FF490948E99}" destId="{5BDE3EEF-E260-4D4D-8ACE-BCB1FFE0E803}" srcOrd="2" destOrd="0" parTransId="{3062ACD3-F64C-4C05-8D4C-9379D77C11DF}" sibTransId="{CC98968C-6554-45C5-9EEA-9B1263081703}"/>
    <dgm:cxn modelId="{62172028-A0DA-41B4-A3BE-4B448AFF4C4D}" type="presOf" srcId="{CC98968C-6554-45C5-9EEA-9B1263081703}" destId="{C38249F0-D11E-4972-B5FA-16C8AB98CA76}" srcOrd="1" destOrd="0" presId="urn:microsoft.com/office/officeart/2005/8/layout/process2"/>
    <dgm:cxn modelId="{24CD7742-4CB8-46CF-ABA4-39E9E6AD6017}" type="presOf" srcId="{F29BF71E-E2E8-4A9A-A1F9-6FF490948E99}" destId="{D3D23EC2-44F4-4693-86A7-9D67C0ED1EC4}" srcOrd="0" destOrd="0" presId="urn:microsoft.com/office/officeart/2005/8/layout/process2"/>
    <dgm:cxn modelId="{F9BF1ADD-2154-49EF-B9F0-CED64AB1BB6C}" type="presOf" srcId="{F307ED4B-92E2-4AEB-8207-F04A517C1F81}" destId="{17031F38-316B-47DA-9F3C-A97FE2078F64}" srcOrd="1" destOrd="0" presId="urn:microsoft.com/office/officeart/2005/8/layout/process2"/>
    <dgm:cxn modelId="{ECF75131-1E36-4806-A5A8-089E62DDC902}" type="presOf" srcId="{CC98968C-6554-45C5-9EEA-9B1263081703}" destId="{9287D853-6C23-46B9-9415-EDA5B19522A6}" srcOrd="0" destOrd="0" presId="urn:microsoft.com/office/officeart/2005/8/layout/process2"/>
    <dgm:cxn modelId="{FBC832FC-5BE4-459F-9AC6-374996CFB774}" srcId="{F29BF71E-E2E8-4A9A-A1F9-6FF490948E99}" destId="{0A88DDFC-F4A1-43D4-A586-034734C828DF}" srcOrd="4" destOrd="0" parTransId="{380A691D-8A47-404E-AE4C-3E8E2114CD34}" sibTransId="{F037DC99-1D35-4046-8085-2C9DB93C11E2}"/>
    <dgm:cxn modelId="{12EFD3BC-EF08-4C8D-BF33-CE15412A2602}" type="presOf" srcId="{66E0FC38-3162-4EEE-9626-5CCAB4404248}" destId="{F732647D-D348-44CE-8103-AB365B13A14B}" srcOrd="0" destOrd="0" presId="urn:microsoft.com/office/officeart/2005/8/layout/process2"/>
    <dgm:cxn modelId="{C2F08BA0-F40E-4FFB-9E0A-A73B5393390B}" type="presOf" srcId="{66E0FC38-3162-4EEE-9626-5CCAB4404248}" destId="{DBF08E55-AFA3-4311-ADFA-95751F414A16}" srcOrd="1" destOrd="0" presId="urn:microsoft.com/office/officeart/2005/8/layout/process2"/>
    <dgm:cxn modelId="{B597A149-94BD-4844-8A70-FD2CE89563ED}" type="presOf" srcId="{B4010614-FD5F-45AB-8408-ECD6409D1524}" destId="{0A3F1F36-75B7-42EF-BA7A-47DED27501CC}" srcOrd="1" destOrd="0" presId="urn:microsoft.com/office/officeart/2005/8/layout/process2"/>
    <dgm:cxn modelId="{0A101E3D-5F7D-4207-BDC0-13F815CFD2F3}" type="presOf" srcId="{0A88DDFC-F4A1-43D4-A586-034734C828DF}" destId="{31595C6F-03FC-4A4F-B56B-FBBB80683FE9}" srcOrd="0" destOrd="0" presId="urn:microsoft.com/office/officeart/2005/8/layout/process2"/>
    <dgm:cxn modelId="{8419B4B8-043C-4DFE-BC24-1035D7BAB34F}" type="presOf" srcId="{E12778C6-A58E-4C33-BCEE-A979C376ABE0}" destId="{6A43A213-9259-4DCB-BB53-5F08CC8A628B}" srcOrd="0" destOrd="0" presId="urn:microsoft.com/office/officeart/2005/8/layout/process2"/>
    <dgm:cxn modelId="{77F2C291-A31A-4E93-9761-7EB8CE1D1C00}" srcId="{F29BF71E-E2E8-4A9A-A1F9-6FF490948E99}" destId="{9168BE29-30DB-4296-BDBA-1999399A0300}" srcOrd="1" destOrd="0" parTransId="{7AAD1C52-FB48-42E6-B038-519767AE7DA6}" sibTransId="{B4010614-FD5F-45AB-8408-ECD6409D1524}"/>
    <dgm:cxn modelId="{99A13A58-8453-4C86-9490-87CD51E73125}" type="presOf" srcId="{9168BE29-30DB-4296-BDBA-1999399A0300}" destId="{8C8F3E14-80C4-45E0-A9C6-19ED0802C963}" srcOrd="0" destOrd="0" presId="urn:microsoft.com/office/officeart/2005/8/layout/process2"/>
    <dgm:cxn modelId="{B926929D-8E13-4641-9EF6-B2CA9F6396B0}" type="presOf" srcId="{5BDE3EEF-E260-4D4D-8ACE-BCB1FFE0E803}" destId="{9D2AACB8-97D5-40A0-B486-2A902733AA0D}" srcOrd="0" destOrd="0" presId="urn:microsoft.com/office/officeart/2005/8/layout/process2"/>
    <dgm:cxn modelId="{A2D28539-700A-4A4C-BD1F-87A645C10F37}" type="presParOf" srcId="{D3D23EC2-44F4-4693-86A7-9D67C0ED1EC4}" destId="{6A43A213-9259-4DCB-BB53-5F08CC8A628B}" srcOrd="0" destOrd="0" presId="urn:microsoft.com/office/officeart/2005/8/layout/process2"/>
    <dgm:cxn modelId="{4CC0EB97-1CD2-4B21-B2A7-418C0E7110C6}" type="presParOf" srcId="{D3D23EC2-44F4-4693-86A7-9D67C0ED1EC4}" destId="{F732647D-D348-44CE-8103-AB365B13A14B}" srcOrd="1" destOrd="0" presId="urn:microsoft.com/office/officeart/2005/8/layout/process2"/>
    <dgm:cxn modelId="{387E23E0-CBD3-4BB6-88D8-3366FE8286FC}" type="presParOf" srcId="{F732647D-D348-44CE-8103-AB365B13A14B}" destId="{DBF08E55-AFA3-4311-ADFA-95751F414A16}" srcOrd="0" destOrd="0" presId="urn:microsoft.com/office/officeart/2005/8/layout/process2"/>
    <dgm:cxn modelId="{86135840-DD5D-4155-ABE8-9CAC26AA98E2}" type="presParOf" srcId="{D3D23EC2-44F4-4693-86A7-9D67C0ED1EC4}" destId="{8C8F3E14-80C4-45E0-A9C6-19ED0802C963}" srcOrd="2" destOrd="0" presId="urn:microsoft.com/office/officeart/2005/8/layout/process2"/>
    <dgm:cxn modelId="{2DFE2113-F061-4719-9202-653E88927694}" type="presParOf" srcId="{D3D23EC2-44F4-4693-86A7-9D67C0ED1EC4}" destId="{2E8BCD4B-A616-4F14-9D3F-363B108B365F}" srcOrd="3" destOrd="0" presId="urn:microsoft.com/office/officeart/2005/8/layout/process2"/>
    <dgm:cxn modelId="{C1AC9F81-1D5F-4E5B-A1BA-9C587B5E347C}" type="presParOf" srcId="{2E8BCD4B-A616-4F14-9D3F-363B108B365F}" destId="{0A3F1F36-75B7-42EF-BA7A-47DED27501CC}" srcOrd="0" destOrd="0" presId="urn:microsoft.com/office/officeart/2005/8/layout/process2"/>
    <dgm:cxn modelId="{8F1E1AD1-4D80-4E67-8D9B-167AD3EBF9DA}" type="presParOf" srcId="{D3D23EC2-44F4-4693-86A7-9D67C0ED1EC4}" destId="{9D2AACB8-97D5-40A0-B486-2A902733AA0D}" srcOrd="4" destOrd="0" presId="urn:microsoft.com/office/officeart/2005/8/layout/process2"/>
    <dgm:cxn modelId="{B13E50D9-F7E1-4201-BAF7-2D3AF17C157C}" type="presParOf" srcId="{D3D23EC2-44F4-4693-86A7-9D67C0ED1EC4}" destId="{9287D853-6C23-46B9-9415-EDA5B19522A6}" srcOrd="5" destOrd="0" presId="urn:microsoft.com/office/officeart/2005/8/layout/process2"/>
    <dgm:cxn modelId="{362273E2-40DF-4A52-AF9B-390E47CC586B}" type="presParOf" srcId="{9287D853-6C23-46B9-9415-EDA5B19522A6}" destId="{C38249F0-D11E-4972-B5FA-16C8AB98CA76}" srcOrd="0" destOrd="0" presId="urn:microsoft.com/office/officeart/2005/8/layout/process2"/>
    <dgm:cxn modelId="{9A5E42DD-DD6D-4953-9046-FA414D30614F}" type="presParOf" srcId="{D3D23EC2-44F4-4693-86A7-9D67C0ED1EC4}" destId="{035415FB-F46B-4173-857F-1D2BE57B2557}" srcOrd="6" destOrd="0" presId="urn:microsoft.com/office/officeart/2005/8/layout/process2"/>
    <dgm:cxn modelId="{2D65635D-711E-4158-A867-AD533ACF43AA}" type="presParOf" srcId="{D3D23EC2-44F4-4693-86A7-9D67C0ED1EC4}" destId="{A10D9DC6-ED95-4A64-B85C-7BD24BAB88E2}" srcOrd="7" destOrd="0" presId="urn:microsoft.com/office/officeart/2005/8/layout/process2"/>
    <dgm:cxn modelId="{09984968-B775-4092-9898-1A66D17BD6D0}" type="presParOf" srcId="{A10D9DC6-ED95-4A64-B85C-7BD24BAB88E2}" destId="{17031F38-316B-47DA-9F3C-A97FE2078F64}" srcOrd="0" destOrd="0" presId="urn:microsoft.com/office/officeart/2005/8/layout/process2"/>
    <dgm:cxn modelId="{DCFF693F-A3E9-4421-B8DD-42E6AC60C9A1}" type="presParOf" srcId="{D3D23EC2-44F4-4693-86A7-9D67C0ED1EC4}" destId="{31595C6F-03FC-4A4F-B56B-FBBB80683FE9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43A213-9259-4DCB-BB53-5F08CC8A628B}">
      <dsp:nvSpPr>
        <dsp:cNvPr id="0" name=""/>
        <dsp:cNvSpPr/>
      </dsp:nvSpPr>
      <dsp:spPr>
        <a:xfrm>
          <a:off x="201809" y="1563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I. Uzyskanie interpretacji z US</a:t>
          </a:r>
        </a:p>
      </dsp:txBody>
      <dsp:txXfrm>
        <a:off x="212517" y="12271"/>
        <a:ext cx="3623090" cy="344169"/>
      </dsp:txXfrm>
    </dsp:sp>
    <dsp:sp modelId="{F732647D-D348-44CE-8103-AB365B13A14B}">
      <dsp:nvSpPr>
        <dsp:cNvPr id="0" name=""/>
        <dsp:cNvSpPr/>
      </dsp:nvSpPr>
      <dsp:spPr>
        <a:xfrm rot="5400000">
          <a:off x="1955515" y="376288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974709" y="389997"/>
        <a:ext cx="98707" cy="95966"/>
      </dsp:txXfrm>
    </dsp:sp>
    <dsp:sp modelId="{8C8F3E14-80C4-45E0-A9C6-19ED0802C963}">
      <dsp:nvSpPr>
        <dsp:cNvPr id="0" name=""/>
        <dsp:cNvSpPr/>
      </dsp:nvSpPr>
      <dsp:spPr>
        <a:xfrm>
          <a:off x="201809" y="549941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1838336"/>
            <a:satOff val="-2557"/>
            <a:lumOff val="-98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II. Wybór osób objętych programem </a:t>
          </a:r>
        </a:p>
      </dsp:txBody>
      <dsp:txXfrm>
        <a:off x="212517" y="560649"/>
        <a:ext cx="3623090" cy="344169"/>
      </dsp:txXfrm>
    </dsp:sp>
    <dsp:sp modelId="{2E8BCD4B-A616-4F14-9D3F-363B108B365F}">
      <dsp:nvSpPr>
        <dsp:cNvPr id="0" name=""/>
        <dsp:cNvSpPr/>
      </dsp:nvSpPr>
      <dsp:spPr>
        <a:xfrm rot="5400000">
          <a:off x="1955515" y="924666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974709" y="938375"/>
        <a:ext cx="98707" cy="95966"/>
      </dsp:txXfrm>
    </dsp:sp>
    <dsp:sp modelId="{9D2AACB8-97D5-40A0-B486-2A902733AA0D}">
      <dsp:nvSpPr>
        <dsp:cNvPr id="0" name=""/>
        <dsp:cNvSpPr/>
      </dsp:nvSpPr>
      <dsp:spPr>
        <a:xfrm>
          <a:off x="201809" y="1098319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3676672"/>
            <a:satOff val="-5114"/>
            <a:lumOff val="-1961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III. Zawarcie umów o pochodny instrument finansowy </a:t>
          </a:r>
          <a:b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</a:b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 uczestnikami programu </a:t>
          </a:r>
        </a:p>
      </dsp:txBody>
      <dsp:txXfrm>
        <a:off x="212517" y="1109027"/>
        <a:ext cx="3623090" cy="344169"/>
      </dsp:txXfrm>
    </dsp:sp>
    <dsp:sp modelId="{9287D853-6C23-46B9-9415-EDA5B19522A6}">
      <dsp:nvSpPr>
        <dsp:cNvPr id="0" name=""/>
        <dsp:cNvSpPr/>
      </dsp:nvSpPr>
      <dsp:spPr>
        <a:xfrm rot="5400000">
          <a:off x="1955515" y="1473044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974709" y="1486753"/>
        <a:ext cx="98707" cy="95966"/>
      </dsp:txXfrm>
    </dsp:sp>
    <dsp:sp modelId="{035415FB-F46B-4173-857F-1D2BE57B2557}">
      <dsp:nvSpPr>
        <dsp:cNvPr id="0" name=""/>
        <dsp:cNvSpPr/>
      </dsp:nvSpPr>
      <dsp:spPr>
        <a:xfrm>
          <a:off x="201809" y="1646697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5515009"/>
            <a:satOff val="-7671"/>
            <a:lumOff val="-294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IV. Okres karencji</a:t>
          </a:r>
        </a:p>
      </dsp:txBody>
      <dsp:txXfrm>
        <a:off x="212517" y="1657405"/>
        <a:ext cx="3623090" cy="344169"/>
      </dsp:txXfrm>
    </dsp:sp>
    <dsp:sp modelId="{A10D9DC6-ED95-4A64-B85C-7BD24BAB88E2}">
      <dsp:nvSpPr>
        <dsp:cNvPr id="0" name=""/>
        <dsp:cNvSpPr/>
      </dsp:nvSpPr>
      <dsp:spPr>
        <a:xfrm rot="5400000">
          <a:off x="1955515" y="2021422"/>
          <a:ext cx="137094" cy="164513"/>
        </a:xfrm>
        <a:prstGeom prst="rightArrow">
          <a:avLst>
            <a:gd name="adj1" fmla="val 60000"/>
            <a:gd name="adj2" fmla="val 50000"/>
          </a:avLst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974709" y="2035131"/>
        <a:ext cx="98707" cy="95966"/>
      </dsp:txXfrm>
    </dsp:sp>
    <dsp:sp modelId="{31595C6F-03FC-4A4F-B56B-FBBB80683FE9}">
      <dsp:nvSpPr>
        <dsp:cNvPr id="0" name=""/>
        <dsp:cNvSpPr/>
      </dsp:nvSpPr>
      <dsp:spPr>
        <a:xfrm>
          <a:off x="201809" y="2195076"/>
          <a:ext cx="3644506" cy="365585"/>
        </a:xfrm>
        <a:prstGeom prst="roundRect">
          <a:avLst>
            <a:gd name="adj" fmla="val 10000"/>
          </a:avLst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V. Zakończenie i rozliczenie programu</a:t>
          </a:r>
        </a:p>
      </dsp:txBody>
      <dsp:txXfrm>
        <a:off x="212517" y="2205784"/>
        <a:ext cx="3623090" cy="3441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D7BC7-4D66-47A5-B7EE-AE77A4C0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6068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Karolina Garstka</cp:lastModifiedBy>
  <cp:revision>9</cp:revision>
  <cp:lastPrinted>2016-03-18T13:44:00Z</cp:lastPrinted>
  <dcterms:created xsi:type="dcterms:W3CDTF">2017-09-05T13:37:00Z</dcterms:created>
  <dcterms:modified xsi:type="dcterms:W3CDTF">2017-10-09T12:15:00Z</dcterms:modified>
</cp:coreProperties>
</file>