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D14670" w14:textId="60EFB93F" w:rsidR="006A2F73" w:rsidRPr="00EB10A6" w:rsidRDefault="00EB10A6" w:rsidP="00BC1378">
      <w:pPr>
        <w:pStyle w:val="Nagwek1"/>
        <w:spacing w:line="276" w:lineRule="auto"/>
        <w:ind w:left="0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14</w:t>
      </w:r>
      <w:r w:rsidR="00017379" w:rsidRPr="00EB10A6">
        <w:rPr>
          <w:rFonts w:asciiTheme="minorHAnsi" w:hAnsiTheme="minorHAnsi" w:cstheme="minorHAnsi"/>
          <w:b w:val="0"/>
          <w:bCs w:val="0"/>
        </w:rPr>
        <w:t>.</w:t>
      </w:r>
      <w:r w:rsidR="00B555C3" w:rsidRPr="00EB10A6">
        <w:rPr>
          <w:rFonts w:asciiTheme="minorHAnsi" w:hAnsiTheme="minorHAnsi" w:cstheme="minorHAnsi"/>
          <w:b w:val="0"/>
          <w:bCs w:val="0"/>
        </w:rPr>
        <w:t>1</w:t>
      </w:r>
      <w:r>
        <w:rPr>
          <w:rFonts w:asciiTheme="minorHAnsi" w:hAnsiTheme="minorHAnsi" w:cstheme="minorHAnsi"/>
          <w:b w:val="0"/>
          <w:bCs w:val="0"/>
        </w:rPr>
        <w:t>2</w:t>
      </w:r>
      <w:r w:rsidR="00881459" w:rsidRPr="00EB10A6">
        <w:rPr>
          <w:rFonts w:asciiTheme="minorHAnsi" w:hAnsiTheme="minorHAnsi" w:cstheme="minorHAnsi"/>
          <w:b w:val="0"/>
          <w:bCs w:val="0"/>
        </w:rPr>
        <w:t>.20</w:t>
      </w:r>
      <w:r w:rsidR="0097520B" w:rsidRPr="00EB10A6">
        <w:rPr>
          <w:rFonts w:asciiTheme="minorHAnsi" w:hAnsiTheme="minorHAnsi" w:cstheme="minorHAnsi"/>
          <w:b w:val="0"/>
          <w:bCs w:val="0"/>
        </w:rPr>
        <w:t>20</w:t>
      </w:r>
    </w:p>
    <w:p w14:paraId="3087E106" w14:textId="77777777" w:rsidR="006A2F73" w:rsidRPr="00EB10A6" w:rsidRDefault="006A2F73" w:rsidP="00BC1378">
      <w:pPr>
        <w:pStyle w:val="Nagwek1"/>
        <w:spacing w:line="276" w:lineRule="auto"/>
        <w:ind w:left="0"/>
        <w:rPr>
          <w:rFonts w:asciiTheme="minorHAnsi" w:hAnsiTheme="minorHAnsi" w:cstheme="minorHAnsi"/>
          <w:b w:val="0"/>
          <w:bCs w:val="0"/>
        </w:rPr>
      </w:pPr>
      <w:r w:rsidRPr="00EB10A6">
        <w:rPr>
          <w:rFonts w:asciiTheme="minorHAnsi" w:hAnsiTheme="minorHAnsi" w:cstheme="minorHAnsi"/>
          <w:b w:val="0"/>
          <w:bCs w:val="0"/>
        </w:rPr>
        <w:t xml:space="preserve">Informacja prasowa portalu </w:t>
      </w:r>
    </w:p>
    <w:p w14:paraId="67D06EB5" w14:textId="77777777" w:rsidR="006A2F73" w:rsidRPr="00EB10A6" w:rsidRDefault="00884F06" w:rsidP="00BC1378">
      <w:pPr>
        <w:spacing w:line="276" w:lineRule="auto"/>
        <w:rPr>
          <w:rFonts w:asciiTheme="minorHAnsi" w:hAnsiTheme="minorHAnsi" w:cstheme="minorHAnsi"/>
        </w:rPr>
      </w:pPr>
      <w:r w:rsidRPr="00EB10A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E0A7CCB" wp14:editId="436240E0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33F331" w14:textId="77777777" w:rsidR="006D03DA" w:rsidRPr="00EB10A6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EB10A6">
        <w:rPr>
          <w:rFonts w:asciiTheme="minorHAnsi" w:hAnsiTheme="minorHAnsi" w:cstheme="minorHAnsi"/>
          <w:b/>
          <w:bCs/>
          <w:sz w:val="24"/>
          <w:szCs w:val="24"/>
        </w:rPr>
        <w:t>Pytania i dodatkowe informacje:</w:t>
      </w:r>
    </w:p>
    <w:p w14:paraId="6CF6B34D" w14:textId="21BA2F35" w:rsidR="006D03DA" w:rsidRPr="00EB10A6" w:rsidRDefault="0065157C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szCs w:val="24"/>
        </w:rPr>
      </w:pPr>
      <w:hyperlink r:id="rId9" w:history="1">
        <w:r w:rsidR="00285E31" w:rsidRPr="00EB10A6">
          <w:rPr>
            <w:rFonts w:asciiTheme="minorHAnsi" w:hAnsiTheme="minorHAnsi" w:cstheme="minorHAnsi"/>
          </w:rPr>
          <w:t>media@sedlak.pl</w:t>
        </w:r>
      </w:hyperlink>
    </w:p>
    <w:p w14:paraId="65B860CA" w14:textId="62E6369D" w:rsidR="00285E31" w:rsidRPr="00EB10A6" w:rsidRDefault="00285E3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szCs w:val="24"/>
        </w:rPr>
      </w:pPr>
      <w:r w:rsidRPr="00EB10A6">
        <w:rPr>
          <w:rFonts w:asciiTheme="minorHAnsi" w:hAnsiTheme="minorHAnsi" w:cstheme="minorHAnsi"/>
          <w:szCs w:val="24"/>
        </w:rPr>
        <w:t>tel. +48 12 625 59 42</w:t>
      </w:r>
    </w:p>
    <w:p w14:paraId="4F497381" w14:textId="630A25E1" w:rsidR="00681531" w:rsidRPr="00EB10A6" w:rsidRDefault="0068153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b w:val="0"/>
          <w:szCs w:val="24"/>
        </w:rPr>
      </w:pPr>
    </w:p>
    <w:p w14:paraId="175C1876" w14:textId="77777777" w:rsidR="00DD12EE" w:rsidRPr="00EB10A6" w:rsidRDefault="00DD12EE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b w:val="0"/>
          <w:szCs w:val="24"/>
        </w:rPr>
      </w:pPr>
    </w:p>
    <w:p w14:paraId="4FE0F04F" w14:textId="77777777" w:rsidR="00681531" w:rsidRPr="00EB10A6" w:rsidRDefault="0068153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b w:val="0"/>
          <w:szCs w:val="24"/>
        </w:rPr>
      </w:pPr>
    </w:p>
    <w:p w14:paraId="4C2C5943" w14:textId="77777777" w:rsidR="00285E31" w:rsidRPr="00EB10A6" w:rsidRDefault="00285E3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b w:val="0"/>
          <w:szCs w:val="24"/>
        </w:rPr>
      </w:pPr>
    </w:p>
    <w:p w14:paraId="3C7ACA87" w14:textId="77777777" w:rsidR="00EB10A6" w:rsidRPr="00EB10A6" w:rsidRDefault="00EB10A6" w:rsidP="00EB10A6">
      <w:pPr>
        <w:spacing w:line="276" w:lineRule="auto"/>
        <w:jc w:val="center"/>
        <w:rPr>
          <w:rStyle w:val="Hipercze"/>
          <w:rFonts w:asciiTheme="minorHAnsi" w:hAnsiTheme="minorHAnsi" w:cstheme="minorHAnsi"/>
          <w:b/>
          <w:color w:val="auto"/>
          <w:sz w:val="32"/>
          <w:u w:val="none"/>
        </w:rPr>
      </w:pPr>
      <w:r w:rsidRPr="00EB10A6">
        <w:rPr>
          <w:rStyle w:val="Hipercze"/>
          <w:rFonts w:asciiTheme="minorHAnsi" w:hAnsiTheme="minorHAnsi" w:cstheme="minorHAnsi"/>
          <w:b/>
          <w:color w:val="auto"/>
          <w:sz w:val="32"/>
          <w:u w:val="none"/>
        </w:rPr>
        <w:t>PROGNOZY WYNAGRODZEŃ</w:t>
      </w:r>
    </w:p>
    <w:p w14:paraId="4DB87EC0" w14:textId="67A2874B" w:rsidR="00EB10A6" w:rsidRDefault="00EB10A6" w:rsidP="00EB10A6">
      <w:pPr>
        <w:spacing w:line="276" w:lineRule="auto"/>
        <w:jc w:val="center"/>
        <w:rPr>
          <w:rStyle w:val="Hipercze"/>
          <w:rFonts w:asciiTheme="minorHAnsi" w:hAnsiTheme="minorHAnsi" w:cstheme="minorHAnsi"/>
          <w:b/>
          <w:color w:val="auto"/>
          <w:sz w:val="32"/>
          <w:u w:val="none"/>
        </w:rPr>
      </w:pPr>
      <w:r w:rsidRPr="00EB10A6">
        <w:rPr>
          <w:rStyle w:val="Hipercze"/>
          <w:rFonts w:asciiTheme="minorHAnsi" w:hAnsiTheme="minorHAnsi" w:cstheme="minorHAnsi"/>
          <w:b/>
          <w:color w:val="auto"/>
          <w:sz w:val="32"/>
          <w:u w:val="none"/>
        </w:rPr>
        <w:t xml:space="preserve"> I INNYCH WSKAŹNIKÓW GOSPODARCZYCH NA 2021 ROK</w:t>
      </w:r>
    </w:p>
    <w:p w14:paraId="612D272E" w14:textId="77777777" w:rsidR="00EB10A6" w:rsidRPr="00EB10A6" w:rsidRDefault="00EB10A6" w:rsidP="00EB10A6">
      <w:pPr>
        <w:spacing w:line="276" w:lineRule="auto"/>
        <w:jc w:val="center"/>
        <w:rPr>
          <w:rStyle w:val="Hipercze"/>
          <w:rFonts w:asciiTheme="minorHAnsi" w:hAnsiTheme="minorHAnsi" w:cstheme="minorHAnsi"/>
          <w:b/>
          <w:color w:val="auto"/>
          <w:sz w:val="32"/>
          <w:u w:val="none"/>
        </w:rPr>
      </w:pPr>
    </w:p>
    <w:p w14:paraId="39E36032" w14:textId="1C44EEDF" w:rsid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b/>
          <w:bCs/>
          <w:color w:val="auto"/>
          <w:u w:val="none"/>
        </w:rPr>
      </w:pPr>
      <w:r w:rsidRPr="00EB10A6">
        <w:rPr>
          <w:rStyle w:val="Hipercze"/>
          <w:rFonts w:asciiTheme="minorHAnsi" w:hAnsiTheme="minorHAnsi" w:cstheme="minorHAnsi"/>
          <w:b/>
          <w:bCs/>
          <w:color w:val="auto"/>
          <w:u w:val="none"/>
        </w:rPr>
        <w:t xml:space="preserve">W ostatnich latach byliśmy przyzwyczajeni do szybkiego tempa wzrostu PKB, a co za tym idzie również wynagrodzeń. I chociaż od  3 lat eksperci przewidywali nadchodzący kryzys gospodarczy, to ten pojawił się znacznie szybciej i z innego powodu niż przypuszczano. Według Banku Światowego w 2019 roku prawie 4 na 5 gospodarek wzrosło.  Natomiast według prognoz tej samej instytucji w 2020 roku prawie wszystkie </w:t>
      </w:r>
      <w:hyperlink r:id="rId10" w:tooltip="gospodarka" w:history="1">
        <w:r w:rsidRPr="00EB10A6">
          <w:rPr>
            <w:rStyle w:val="Hipercze"/>
            <w:rFonts w:asciiTheme="minorHAnsi" w:hAnsiTheme="minorHAnsi" w:cstheme="minorHAnsi"/>
            <w:b/>
            <w:bCs/>
            <w:color w:val="auto"/>
            <w:u w:val="none"/>
          </w:rPr>
          <w:t>gospodarki</w:t>
        </w:r>
      </w:hyperlink>
      <w:r w:rsidRPr="00EB10A6">
        <w:rPr>
          <w:rStyle w:val="Hipercze"/>
          <w:rFonts w:asciiTheme="minorHAnsi" w:hAnsiTheme="minorHAnsi" w:cstheme="minorHAnsi"/>
          <w:b/>
          <w:bCs/>
          <w:color w:val="auto"/>
          <w:u w:val="none"/>
        </w:rPr>
        <w:t xml:space="preserve"> na świecie skurczą się. Jakie są prognozy ekspertów i w jakich nastrojach pracodawcy wkroczą w 2021 rok? Jak kryzys gospodarczy wpłynie na wynagrodzenia w nadchodzącym roku? </w:t>
      </w:r>
    </w:p>
    <w:p w14:paraId="1B8CAEB7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b/>
          <w:bCs/>
          <w:color w:val="auto"/>
          <w:u w:val="none"/>
        </w:rPr>
      </w:pPr>
    </w:p>
    <w:p w14:paraId="62EE2CD6" w14:textId="7F1763D0" w:rsid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>Na wstępie warto zaznaczyć, że dynamicznie zmieniająca się sytuacja epidemiologiczna sprawia, że przewidywania dotyczące wskaźników gospodarczych w okresie objętym prognozą są obarczone niezwykle wysokim stopniem niepewności. Niemniej jednak wielu analityków podjęło próbę przewidywania prognoz wskaźników gospodarczych na 2021 rok.</w:t>
      </w:r>
    </w:p>
    <w:p w14:paraId="3F5D31C0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</w:p>
    <w:p w14:paraId="663B034D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b/>
          <w:color w:val="auto"/>
          <w:u w:val="none"/>
        </w:rPr>
      </w:pPr>
      <w:r w:rsidRPr="00EB10A6">
        <w:rPr>
          <w:rStyle w:val="Hipercze"/>
          <w:rFonts w:asciiTheme="minorHAnsi" w:hAnsiTheme="minorHAnsi" w:cstheme="minorHAnsi"/>
          <w:b/>
          <w:color w:val="auto"/>
          <w:u w:val="none"/>
        </w:rPr>
        <w:t>PKB</w:t>
      </w:r>
    </w:p>
    <w:p w14:paraId="00FAA0F4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 xml:space="preserve">Eksperci w trakcie 2020 roku korygowali swoje prognozy. I tak projekcje jesienne są mniej korzystne dla gospodarek europejskich, niż wiosenne – z początku </w:t>
      </w:r>
      <w:proofErr w:type="spellStart"/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>koronakryzysu</w:t>
      </w:r>
      <w:proofErr w:type="spellEnd"/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>. Bez wątpienia większość gospodarek europejskich skurczy się w 2020 roku, a dynamika PKB w 2021 będzie niższa niż w latach poprzednich.</w:t>
      </w:r>
    </w:p>
    <w:p w14:paraId="29FD6D69" w14:textId="16F4B4E9" w:rsid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 xml:space="preserve">Według prognozy gospodarczej Komisji Europejskiej z jesieni 2020 roku gospodarka strefy euro skurczy się o 7,8% w 2020 roku, a następnie wzrośnie o 4,2% w 2021 roku i o 3% w 2022 roku. W 2020 roku największy spadek spośród krajów Europy odnotuje Hiszpania (-12,4%) i Wielka Brytania (-10,3%). W 2021 roku przewiduje się, </w:t>
      </w: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lastRenderedPageBreak/>
        <w:t xml:space="preserve">że dynamika wzrostu PKB we wszystkich krajach będzie już dodatnia. W Polsce wskaźnik ten ma być niższy niż dynamika PKB w całej Unii Europejskiej. </w:t>
      </w:r>
    </w:p>
    <w:p w14:paraId="44CD0E09" w14:textId="77777777" w:rsidR="00360079" w:rsidRPr="00EB10A6" w:rsidRDefault="00360079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</w:p>
    <w:p w14:paraId="7A5B1488" w14:textId="77777777" w:rsidR="00EB10A6" w:rsidRPr="00EB10A6" w:rsidRDefault="00EB10A6" w:rsidP="00EB10A6">
      <w:pPr>
        <w:pStyle w:val="wykressedlak"/>
        <w:rPr>
          <w:rFonts w:asciiTheme="minorHAnsi" w:eastAsiaTheme="minorEastAsia" w:hAnsiTheme="minorHAnsi" w:cstheme="minorHAnsi"/>
          <w:color w:val="auto"/>
          <w:szCs w:val="24"/>
        </w:rPr>
      </w:pPr>
      <w:r w:rsidRPr="00EB10A6">
        <w:rPr>
          <w:rFonts w:asciiTheme="minorHAnsi" w:eastAsiaTheme="minorEastAsia" w:hAnsiTheme="minorHAnsi" w:cstheme="minorHAnsi"/>
          <w:color w:val="auto"/>
          <w:szCs w:val="24"/>
        </w:rPr>
        <w:t>Wykres 1. Prognozowana dynamika PKB </w:t>
      </w:r>
    </w:p>
    <w:p w14:paraId="132FA460" w14:textId="77777777" w:rsidR="00EB10A6" w:rsidRPr="00EB10A6" w:rsidRDefault="00EB10A6" w:rsidP="00EB10A6">
      <w:pPr>
        <w:pStyle w:val="wykressedlak"/>
        <w:rPr>
          <w:rFonts w:asciiTheme="minorHAnsi" w:eastAsiaTheme="minorEastAsia" w:hAnsiTheme="minorHAnsi" w:cstheme="minorHAnsi"/>
          <w:color w:val="auto"/>
          <w:szCs w:val="24"/>
        </w:rPr>
      </w:pPr>
      <w:r w:rsidRPr="00EB10A6">
        <w:rPr>
          <w:rFonts w:asciiTheme="minorHAnsi" w:eastAsiaTheme="minorEastAsia" w:hAnsiTheme="minorHAnsi" w:cstheme="minorHAnsi"/>
          <w:color w:val="auto"/>
          <w:szCs w:val="24"/>
        </w:rPr>
        <w:t>w poszczególnych krajach Europy w 2021 roku (w %)</w:t>
      </w:r>
    </w:p>
    <w:p w14:paraId="25C1B598" w14:textId="77777777" w:rsidR="00EB10A6" w:rsidRPr="00EB10A6" w:rsidRDefault="00EB10A6" w:rsidP="00EB10A6">
      <w:pPr>
        <w:spacing w:line="276" w:lineRule="auto"/>
        <w:rPr>
          <w:rFonts w:asciiTheme="minorHAnsi" w:hAnsiTheme="minorHAnsi" w:cstheme="minorHAnsi"/>
        </w:rPr>
      </w:pPr>
      <w:r w:rsidRPr="00EB10A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16506F81" wp14:editId="499EFD99">
            <wp:extent cx="6012180" cy="4213860"/>
            <wp:effectExtent l="0" t="0" r="7620" b="0"/>
            <wp:docPr id="3" name="Wykres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3603CF9" w14:textId="77777777" w:rsidR="00EB10A6" w:rsidRPr="00EB10A6" w:rsidRDefault="00EB10A6" w:rsidP="00EB10A6">
      <w:pPr>
        <w:spacing w:line="276" w:lineRule="auto"/>
        <w:jc w:val="center"/>
        <w:rPr>
          <w:rFonts w:asciiTheme="minorHAnsi" w:hAnsiTheme="minorHAnsi" w:cstheme="minorHAnsi"/>
        </w:rPr>
      </w:pPr>
      <w:r w:rsidRPr="00EB10A6"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  <w:t xml:space="preserve">Źródło: Opracowanie Sedlak </w:t>
      </w:r>
      <w:r w:rsidRPr="00EB10A6">
        <w:rPr>
          <w:rStyle w:val="small"/>
          <w:rFonts w:asciiTheme="minorHAnsi" w:hAnsiTheme="minorHAnsi" w:cstheme="minorHAnsi"/>
          <w:i/>
          <w:iCs/>
          <w:sz w:val="17"/>
          <w:szCs w:val="17"/>
        </w:rPr>
        <w:t>&amp;</w:t>
      </w:r>
      <w:r w:rsidRPr="00EB10A6"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  <w:t xml:space="preserve"> Sedlak na podstawie danych Komisji Europejskiej</w:t>
      </w:r>
    </w:p>
    <w:p w14:paraId="6E0FCB23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</w:p>
    <w:p w14:paraId="6EF0DDC5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 xml:space="preserve">Organizacja Współpracy Gospodarczej i Rozwoju (OECD) zakłada mniej optymistyczny scenariusz dla Polski od prognoz Komisji Europejskiej. Według raportu OECD </w:t>
      </w:r>
      <w:proofErr w:type="spellStart"/>
      <w:r w:rsidRPr="00EB10A6">
        <w:rPr>
          <w:rStyle w:val="Hipercze"/>
          <w:rFonts w:asciiTheme="minorHAnsi" w:hAnsiTheme="minorHAnsi" w:cstheme="minorHAnsi"/>
          <w:i/>
          <w:iCs/>
          <w:color w:val="auto"/>
          <w:u w:val="none"/>
        </w:rPr>
        <w:t>Economic</w:t>
      </w:r>
      <w:proofErr w:type="spellEnd"/>
      <w:r w:rsidRPr="00EB10A6">
        <w:rPr>
          <w:rStyle w:val="Hipercze"/>
          <w:rFonts w:asciiTheme="minorHAnsi" w:hAnsiTheme="minorHAnsi" w:cstheme="minorHAnsi"/>
          <w:i/>
          <w:iCs/>
          <w:color w:val="auto"/>
          <w:u w:val="none"/>
        </w:rPr>
        <w:t xml:space="preserve"> Outlook </w:t>
      </w: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 xml:space="preserve">z grudnia 2020 roku PKB Polski spadnie o 3,5% w 2020 roku, zaś w 2021 roku PKB wzrośnie o 2,9%. Wzrost gospodarczy na 2022 r. prognozuje na poziomie 3,8%. </w:t>
      </w:r>
    </w:p>
    <w:p w14:paraId="2978C9AD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b/>
          <w:color w:val="auto"/>
          <w:u w:val="none"/>
        </w:rPr>
      </w:pPr>
    </w:p>
    <w:p w14:paraId="19DDB61C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b/>
          <w:color w:val="auto"/>
          <w:u w:val="none"/>
        </w:rPr>
      </w:pPr>
      <w:r w:rsidRPr="00EB10A6">
        <w:rPr>
          <w:rStyle w:val="Hipercze"/>
          <w:rFonts w:asciiTheme="minorHAnsi" w:hAnsiTheme="minorHAnsi" w:cstheme="minorHAnsi"/>
          <w:b/>
          <w:color w:val="auto"/>
          <w:u w:val="none"/>
        </w:rPr>
        <w:t>Bezrobocie i zatrudnienie</w:t>
      </w:r>
    </w:p>
    <w:p w14:paraId="69A015DA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 xml:space="preserve">Według prognoz Komisji Europejskiej w większości krajów Unii Europejskiej stopa bezrobocia liczona według BAEL wzrośnie z 7,7% w 2020 do 8,6% w 2021 roku. Najwyższe bezrobocie wystąpi w Hiszpanii, tam według projekcji wyniesie 17,9%. </w:t>
      </w: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lastRenderedPageBreak/>
        <w:t xml:space="preserve">Wysokie bezrobocie wystąpi również w Grecji – stopa bezrobocia wyniesie tam 17,5%. Oznacza to, że w tych krajach prawie co 5 osoba zostanie bez pracy. </w:t>
      </w:r>
    </w:p>
    <w:p w14:paraId="3D73498D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 xml:space="preserve">Według Komisji Europejskiej w 2021 roku stopa bezrobocia w Polsce wyniesie 5,3% wobec 4% w 2020 roku. Według prognoz zawartych w </w:t>
      </w:r>
      <w:r w:rsidRPr="00EB10A6">
        <w:rPr>
          <w:rStyle w:val="Hipercze"/>
          <w:rFonts w:asciiTheme="minorHAnsi" w:hAnsiTheme="minorHAnsi" w:cstheme="minorHAnsi"/>
          <w:i/>
          <w:iCs/>
          <w:color w:val="auto"/>
          <w:u w:val="none"/>
        </w:rPr>
        <w:t>Raporcie o inflacji</w:t>
      </w: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 xml:space="preserve"> NBP w pierwszych dwóch kwartałach 2021 roku wskaźnik ten wyniesie 5,6%, a pod koniec roku zacznie spadać do poziomu 5%. </w:t>
      </w:r>
    </w:p>
    <w:p w14:paraId="0AD97BA5" w14:textId="754A7115" w:rsid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 xml:space="preserve">Według analityków NBP liczba pracujących spadnie o 3,8% w pierwszym kwartale 2021 roku Prognozy przewidują również polepszanie się sytuacji na rynku pracy – w czwartym kwartale liczba pracujących spadnie jedynie o 0,2%, a od początku 2022 roku przewiduje się ponowny wzrost liczby zatrudnionych. </w:t>
      </w:r>
    </w:p>
    <w:p w14:paraId="43E126C5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</w:p>
    <w:p w14:paraId="54691F1D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b/>
          <w:color w:val="auto"/>
          <w:u w:val="none"/>
        </w:rPr>
      </w:pPr>
      <w:r w:rsidRPr="00EB10A6">
        <w:rPr>
          <w:rStyle w:val="Hipercze"/>
          <w:rFonts w:asciiTheme="minorHAnsi" w:hAnsiTheme="minorHAnsi" w:cstheme="minorHAnsi"/>
          <w:b/>
          <w:color w:val="auto"/>
          <w:u w:val="none"/>
        </w:rPr>
        <w:t>Wynagrodzenia</w:t>
      </w:r>
    </w:p>
    <w:p w14:paraId="5FDB81E3" w14:textId="2F991C06" w:rsid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>Chociaż w znacznej większości państw Unii wynagrodzenia w ujęciu nominalnym w 2021 roku wzrosną, to widać wyraźny spadek dynamiki w porównaniu do lat poprzednich. Prognozowany nominalny wzrost wynagrodzeń w Unii Europejskiej ma wynieść 1,7%. Z kolei w całej strefie euro wynagrodzenia wzrosną o 1,2%. W Polsce przewiduje się wzrost wynoszący 4,3%.</w:t>
      </w:r>
    </w:p>
    <w:p w14:paraId="1FD4DE75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</w:p>
    <w:p w14:paraId="0312BFF4" w14:textId="77777777" w:rsidR="00EB10A6" w:rsidRPr="00EB10A6" w:rsidRDefault="00EB10A6" w:rsidP="00EB10A6">
      <w:pPr>
        <w:pStyle w:val="wykressedlak"/>
        <w:rPr>
          <w:rFonts w:asciiTheme="minorHAnsi" w:eastAsiaTheme="minorEastAsia" w:hAnsiTheme="minorHAnsi" w:cstheme="minorHAnsi"/>
          <w:color w:val="auto"/>
          <w:szCs w:val="24"/>
        </w:rPr>
      </w:pPr>
      <w:r w:rsidRPr="00EB10A6">
        <w:rPr>
          <w:rFonts w:asciiTheme="minorHAnsi" w:eastAsiaTheme="minorEastAsia" w:hAnsiTheme="minorHAnsi" w:cstheme="minorHAnsi"/>
          <w:color w:val="auto"/>
          <w:szCs w:val="24"/>
        </w:rPr>
        <w:t xml:space="preserve">Wykres 2. Prognozowany wzrost wynagrodzeń w ujęciu nominalnym </w:t>
      </w:r>
    </w:p>
    <w:p w14:paraId="015AA8FE" w14:textId="77777777" w:rsidR="00EB10A6" w:rsidRPr="00EB10A6" w:rsidRDefault="00EB10A6" w:rsidP="00EB10A6">
      <w:pPr>
        <w:pStyle w:val="wykressedlak"/>
        <w:rPr>
          <w:rFonts w:asciiTheme="minorHAnsi" w:eastAsiaTheme="minorEastAsia" w:hAnsiTheme="minorHAnsi" w:cstheme="minorHAnsi"/>
          <w:color w:val="auto"/>
          <w:szCs w:val="24"/>
        </w:rPr>
      </w:pPr>
      <w:r w:rsidRPr="00EB10A6">
        <w:rPr>
          <w:rFonts w:asciiTheme="minorHAnsi" w:eastAsiaTheme="minorEastAsia" w:hAnsiTheme="minorHAnsi" w:cstheme="minorHAnsi"/>
          <w:color w:val="auto"/>
          <w:szCs w:val="24"/>
        </w:rPr>
        <w:t>w poszczególnych krajach Europy w 2021 roku (w %)</w:t>
      </w:r>
    </w:p>
    <w:p w14:paraId="0E11D858" w14:textId="77777777" w:rsidR="00EB10A6" w:rsidRPr="00EB10A6" w:rsidRDefault="00EB10A6" w:rsidP="00EB10A6">
      <w:pPr>
        <w:spacing w:line="276" w:lineRule="auto"/>
        <w:rPr>
          <w:rFonts w:asciiTheme="minorHAnsi" w:hAnsiTheme="minorHAnsi" w:cstheme="minorHAnsi"/>
        </w:rPr>
      </w:pPr>
      <w:r w:rsidRPr="00EB10A6">
        <w:rPr>
          <w:rFonts w:asciiTheme="minorHAnsi" w:hAnsiTheme="minorHAnsi" w:cstheme="minorHAnsi"/>
          <w:noProof/>
          <w:lang w:eastAsia="pl-PL"/>
        </w:rPr>
        <w:lastRenderedPageBreak/>
        <w:drawing>
          <wp:inline distT="0" distB="0" distL="0" distR="0" wp14:anchorId="6EFE4AAA" wp14:editId="2C834183">
            <wp:extent cx="5753100" cy="5196840"/>
            <wp:effectExtent l="0" t="0" r="0" b="3810"/>
            <wp:docPr id="8" name="Wykres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DA557B1" w14:textId="77777777" w:rsidR="00EB10A6" w:rsidRPr="00EB10A6" w:rsidRDefault="00EB10A6" w:rsidP="00EB10A6">
      <w:pPr>
        <w:spacing w:line="276" w:lineRule="auto"/>
        <w:jc w:val="center"/>
        <w:rPr>
          <w:rStyle w:val="Hipercze"/>
          <w:rFonts w:asciiTheme="minorHAnsi" w:hAnsiTheme="minorHAnsi" w:cstheme="minorHAnsi"/>
          <w:color w:val="auto"/>
          <w:u w:val="none"/>
        </w:rPr>
      </w:pPr>
      <w:r w:rsidRPr="00EB10A6"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  <w:t xml:space="preserve">Źródło: Opracowanie Sedlak </w:t>
      </w:r>
      <w:r w:rsidRPr="00EB10A6">
        <w:rPr>
          <w:rStyle w:val="small"/>
          <w:rFonts w:asciiTheme="minorHAnsi" w:hAnsiTheme="minorHAnsi" w:cstheme="minorHAnsi"/>
          <w:i/>
          <w:iCs/>
          <w:sz w:val="17"/>
          <w:szCs w:val="17"/>
        </w:rPr>
        <w:t>&amp;</w:t>
      </w:r>
      <w:r w:rsidRPr="00EB10A6"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  <w:t xml:space="preserve"> Sedlak na podstawie danych Komisji Europejskiej</w:t>
      </w:r>
    </w:p>
    <w:p w14:paraId="2B220311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</w:p>
    <w:p w14:paraId="52DC6017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>Kryzys gospodarczy sprawił, że w większości państw inflacja wzrosła, co oznacza, że dynamika wzrostu wynagrodzenia w ujęciu realnym będzie niższa.  W niektórych krajach dynamika wynagrodzenia w ujęciu realnym będzie ujemna, ponieważ inflacja będzie wyższa od nominalnego wzrostu wynagrodzeń.</w:t>
      </w:r>
    </w:p>
    <w:p w14:paraId="6B5F460B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</w:p>
    <w:p w14:paraId="410EFF38" w14:textId="77777777" w:rsidR="00EB10A6" w:rsidRPr="00EB10A6" w:rsidRDefault="00EB10A6" w:rsidP="00EB10A6">
      <w:pPr>
        <w:pStyle w:val="wykressedlak"/>
        <w:rPr>
          <w:rFonts w:asciiTheme="minorHAnsi" w:eastAsiaTheme="minorEastAsia" w:hAnsiTheme="minorHAnsi" w:cstheme="minorHAnsi"/>
          <w:color w:val="auto"/>
          <w:szCs w:val="24"/>
        </w:rPr>
      </w:pPr>
      <w:r w:rsidRPr="00EB10A6">
        <w:rPr>
          <w:rFonts w:asciiTheme="minorHAnsi" w:eastAsiaTheme="minorEastAsia" w:hAnsiTheme="minorHAnsi" w:cstheme="minorHAnsi"/>
          <w:color w:val="auto"/>
          <w:szCs w:val="24"/>
        </w:rPr>
        <w:t xml:space="preserve">Wykres 3. Prognozowany wzrost wynagrodzeń w ujęciu realnym </w:t>
      </w:r>
    </w:p>
    <w:p w14:paraId="7761DE7B" w14:textId="77777777" w:rsidR="00EB10A6" w:rsidRPr="00EB10A6" w:rsidRDefault="00EB10A6" w:rsidP="00EB10A6">
      <w:pPr>
        <w:pStyle w:val="wykressedlak"/>
        <w:rPr>
          <w:rFonts w:asciiTheme="minorHAnsi" w:eastAsiaTheme="minorEastAsia" w:hAnsiTheme="minorHAnsi" w:cstheme="minorHAnsi"/>
          <w:color w:val="auto"/>
          <w:szCs w:val="24"/>
        </w:rPr>
      </w:pPr>
      <w:r w:rsidRPr="00EB10A6">
        <w:rPr>
          <w:rFonts w:asciiTheme="minorHAnsi" w:eastAsiaTheme="minorEastAsia" w:hAnsiTheme="minorHAnsi" w:cstheme="minorHAnsi"/>
          <w:color w:val="auto"/>
          <w:szCs w:val="24"/>
        </w:rPr>
        <w:t>w poszczególnych krajach Europy w 2021 roku (w %)</w:t>
      </w:r>
    </w:p>
    <w:p w14:paraId="00A11E68" w14:textId="77777777" w:rsidR="00EB10A6" w:rsidRPr="00EB10A6" w:rsidRDefault="00EB10A6" w:rsidP="00EB10A6">
      <w:pPr>
        <w:spacing w:line="276" w:lineRule="auto"/>
        <w:rPr>
          <w:rFonts w:asciiTheme="minorHAnsi" w:hAnsiTheme="minorHAnsi" w:cstheme="minorHAnsi"/>
        </w:rPr>
      </w:pPr>
      <w:r w:rsidRPr="00EB10A6">
        <w:rPr>
          <w:rFonts w:asciiTheme="minorHAnsi" w:hAnsiTheme="minorHAnsi" w:cstheme="minorHAnsi"/>
          <w:noProof/>
          <w:lang w:eastAsia="pl-PL"/>
        </w:rPr>
        <w:lastRenderedPageBreak/>
        <w:drawing>
          <wp:inline distT="0" distB="0" distL="0" distR="0" wp14:anchorId="42750BD7" wp14:editId="16D6388A">
            <wp:extent cx="5913120" cy="5265420"/>
            <wp:effectExtent l="0" t="0" r="0" b="0"/>
            <wp:docPr id="4" name="Wykres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401829DD" w14:textId="77777777" w:rsidR="00EB10A6" w:rsidRPr="00EB10A6" w:rsidRDefault="00EB10A6" w:rsidP="00EB10A6">
      <w:pPr>
        <w:spacing w:line="276" w:lineRule="auto"/>
        <w:jc w:val="center"/>
        <w:rPr>
          <w:rFonts w:asciiTheme="minorHAnsi" w:hAnsiTheme="minorHAnsi" w:cstheme="minorHAnsi"/>
        </w:rPr>
      </w:pPr>
      <w:r w:rsidRPr="00EB10A6"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  <w:t xml:space="preserve">Źródło: Opracowanie Sedlak </w:t>
      </w:r>
      <w:r w:rsidRPr="00EB10A6">
        <w:rPr>
          <w:rStyle w:val="small"/>
          <w:rFonts w:asciiTheme="minorHAnsi" w:hAnsiTheme="minorHAnsi" w:cstheme="minorHAnsi"/>
          <w:i/>
          <w:iCs/>
          <w:sz w:val="17"/>
          <w:szCs w:val="17"/>
        </w:rPr>
        <w:t>&amp;</w:t>
      </w:r>
      <w:r w:rsidRPr="00EB10A6"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  <w:t xml:space="preserve"> Sedlak na podstawie danych Komisji Europejskiej</w:t>
      </w:r>
    </w:p>
    <w:p w14:paraId="7A0AD1F5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b/>
          <w:color w:val="auto"/>
          <w:u w:val="none"/>
        </w:rPr>
      </w:pPr>
    </w:p>
    <w:p w14:paraId="0C25A509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b/>
          <w:color w:val="auto"/>
          <w:u w:val="none"/>
        </w:rPr>
      </w:pPr>
      <w:r w:rsidRPr="00EB10A6">
        <w:rPr>
          <w:rStyle w:val="Hipercze"/>
          <w:rFonts w:asciiTheme="minorHAnsi" w:hAnsiTheme="minorHAnsi" w:cstheme="minorHAnsi"/>
          <w:b/>
          <w:color w:val="auto"/>
          <w:u w:val="none"/>
        </w:rPr>
        <w:t>Prognozy dla Polski</w:t>
      </w:r>
    </w:p>
    <w:p w14:paraId="1B38F5A8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 xml:space="preserve">Według </w:t>
      </w:r>
      <w:r w:rsidRPr="00EB10A6">
        <w:rPr>
          <w:rStyle w:val="Hipercze"/>
          <w:rFonts w:asciiTheme="minorHAnsi" w:hAnsiTheme="minorHAnsi" w:cstheme="minorHAnsi"/>
          <w:i/>
          <w:iCs/>
          <w:color w:val="auto"/>
          <w:u w:val="none"/>
        </w:rPr>
        <w:t>Raportu o inflacji</w:t>
      </w: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 xml:space="preserve"> NBP podwyżki wynagrodzeń rok do roku w 2021 roku wyniosą od </w:t>
      </w:r>
      <w:r w:rsidRPr="00EB10A6">
        <w:rPr>
          <w:rStyle w:val="Hipercze"/>
          <w:rFonts w:asciiTheme="minorHAnsi" w:hAnsiTheme="minorHAnsi" w:cstheme="minorHAnsi"/>
          <w:b/>
          <w:bCs/>
          <w:color w:val="auto"/>
          <w:u w:val="none"/>
        </w:rPr>
        <w:t>3,4%</w:t>
      </w: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 xml:space="preserve"> w pierwszym kwartale do 5,9% w ostatnim. Dla porównania dynamika płac w 2019 roku wyniosła 7,7% r/r. Widać więc wyraźne spowolnienie. Pracodawcy przede wszystkim ograniczają wypłatę wszelkiego rodzaju nieobligatoryjnych premii i dodatków. Warto również wspomnieć, że w 2021 roku płaca minimalna w Polsce wzrośnie o 200 PLN – podwyżki powinny więc najbardziej odczuć osoby zarabiające najmniej.</w:t>
      </w:r>
    </w:p>
    <w:p w14:paraId="7334E806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 xml:space="preserve">W tegorocznym raporcie o inflacji czytamy również: „W drugiej połowie 2021 roku możliwe jest stopniowe odwrócenie negatywnych tendencji na rynku pracy. Wraz z częściowym przywracaniem trybu pracy sprzed pandemii, nastąpi sukcesywny </w:t>
      </w: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lastRenderedPageBreak/>
        <w:t>wzrost dynamiki płac w gospodarce. Będzie on skutkiem odbudowy intensywności pracy, przywracania dodatków pozapłacowych lub zaniechanych dotychczas, a planowanych wcześniej podwyżek wynagrodzeń. Na kształtowanie się płac wpływać będzie również planowany wzrost płacy minimalnej o 7,7% od stycznia 2021 roku. Przy podwyższonej stopie bezrobocia, dynamika wynagrodzeń w horyzoncie projekcji nie osiągnie jednak poziomu z lat 2018- 2019”.</w:t>
      </w:r>
    </w:p>
    <w:p w14:paraId="41553F7F" w14:textId="77777777" w:rsidR="00EB10A6" w:rsidRPr="00EB10A6" w:rsidRDefault="00EB10A6" w:rsidP="00EB10A6">
      <w:pPr>
        <w:spacing w:line="276" w:lineRule="auto"/>
        <w:rPr>
          <w:rFonts w:asciiTheme="minorHAnsi" w:hAnsiTheme="minorHAnsi" w:cstheme="minorHAnsi"/>
          <w:b/>
          <w:bCs/>
          <w:shd w:val="clear" w:color="auto" w:fill="FFFFFF"/>
        </w:rPr>
      </w:pPr>
    </w:p>
    <w:p w14:paraId="7E71B29D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b/>
          <w:color w:val="auto"/>
          <w:u w:val="none"/>
        </w:rPr>
      </w:pPr>
      <w:r w:rsidRPr="00EB10A6">
        <w:rPr>
          <w:rStyle w:val="Hipercze"/>
          <w:rFonts w:asciiTheme="minorHAnsi" w:hAnsiTheme="minorHAnsi" w:cstheme="minorHAnsi"/>
          <w:b/>
          <w:color w:val="auto"/>
          <w:u w:val="none"/>
        </w:rPr>
        <w:t>Przewidywania pracodawców</w:t>
      </w:r>
    </w:p>
    <w:p w14:paraId="6ADE3C2D" w14:textId="63702015" w:rsidR="00EB10A6" w:rsidRDefault="00EB10A6" w:rsidP="00EB10A6">
      <w:pPr>
        <w:autoSpaceDE w:val="0"/>
        <w:autoSpaceDN w:val="0"/>
        <w:adjustRightInd w:val="0"/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 xml:space="preserve">Wyniki czerwcowego badania Sedlak </w:t>
      </w:r>
      <w:r w:rsidRPr="00EB10A6">
        <w:rPr>
          <w:rStyle w:val="Hipercze"/>
          <w:rFonts w:asciiTheme="minorHAnsi" w:hAnsiTheme="minorHAnsi" w:cstheme="minorHAnsi"/>
          <w:color w:val="auto"/>
          <w:sz w:val="20"/>
          <w:szCs w:val="20"/>
          <w:u w:val="none"/>
        </w:rPr>
        <w:t>&amp;</w:t>
      </w: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 xml:space="preserve"> Sedlak dotyczącego nastroju pracodawców w obliczu pandemii COVID-19 pokazały, że patrzyli oni optymistycznie na 2021 rok. 45% firm przewidywało poprawę swojej sytuacji finansowej. Jedynie 11% pracodawców przewidywało jej pogorszenie. Lepsza sytuacja finansowa firm na pewno przełoży się na stopniowy wzrost dynamiki wynagrodzeń w kolejnych latach.</w:t>
      </w:r>
    </w:p>
    <w:p w14:paraId="5F8BB4F9" w14:textId="77777777" w:rsidR="00EB10A6" w:rsidRPr="00EB10A6" w:rsidRDefault="00EB10A6" w:rsidP="00EB10A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6AB77006" w14:textId="77777777" w:rsidR="00EB10A6" w:rsidRPr="00EB10A6" w:rsidRDefault="00EB10A6" w:rsidP="00EB10A6">
      <w:pPr>
        <w:pStyle w:val="wykressedlak"/>
        <w:rPr>
          <w:rStyle w:val="Hipercze"/>
          <w:rFonts w:asciiTheme="minorHAnsi" w:eastAsiaTheme="minorEastAsia" w:hAnsiTheme="minorHAnsi" w:cstheme="minorHAnsi"/>
          <w:color w:val="auto"/>
          <w:szCs w:val="24"/>
          <w:u w:val="none"/>
        </w:rPr>
      </w:pPr>
      <w:r w:rsidRPr="00EB10A6">
        <w:rPr>
          <w:rFonts w:asciiTheme="minorHAnsi" w:eastAsiaTheme="minorEastAsia" w:hAnsiTheme="minorHAnsi" w:cstheme="minorHAnsi"/>
          <w:color w:val="auto"/>
          <w:szCs w:val="24"/>
        </w:rPr>
        <w:t>Tabela 1. Przewidywania pracodawców odnośnie zmian w sytuacji finansowej ich firmy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7"/>
        <w:gridCol w:w="73"/>
        <w:gridCol w:w="2154"/>
        <w:gridCol w:w="1087"/>
        <w:gridCol w:w="1087"/>
        <w:gridCol w:w="1087"/>
        <w:gridCol w:w="1354"/>
      </w:tblGrid>
      <w:tr w:rsidR="00EB10A6" w:rsidRPr="00EB10A6" w14:paraId="26348322" w14:textId="77777777" w:rsidTr="008F6039">
        <w:trPr>
          <w:trHeight w:val="620"/>
          <w:jc w:val="center"/>
        </w:trPr>
        <w:tc>
          <w:tcPr>
            <w:tcW w:w="2870" w:type="dxa"/>
            <w:gridSpan w:val="2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</w:tcPr>
          <w:p w14:paraId="1A5182C1" w14:textId="77777777" w:rsidR="00EB10A6" w:rsidRPr="00EB10A6" w:rsidRDefault="00EB10A6" w:rsidP="008F6039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bookmarkStart w:id="0" w:name="_Hlk58831664"/>
            <w:r w:rsidRPr="00EB10A6">
              <w:rPr>
                <w:rFonts w:asciiTheme="minorHAnsi" w:hAnsiTheme="minorHAnsi" w:cstheme="minorHAnsi"/>
                <w:lang w:eastAsia="pl-PL"/>
              </w:rPr>
              <w:t>Przewidywania odnośnie zmian w sytuacji finansowej:</w:t>
            </w:r>
          </w:p>
        </w:tc>
        <w:tc>
          <w:tcPr>
            <w:tcW w:w="215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  <w:vAlign w:val="center"/>
          </w:tcPr>
          <w:p w14:paraId="4411E128" w14:textId="77777777" w:rsidR="00EB10A6" w:rsidRPr="00EB10A6" w:rsidRDefault="00EB10A6" w:rsidP="008F6039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EB10A6">
              <w:rPr>
                <w:rFonts w:asciiTheme="minorHAnsi" w:hAnsiTheme="minorHAnsi" w:cstheme="minorHAnsi"/>
                <w:lang w:eastAsia="pl-PL"/>
              </w:rPr>
              <w:t>suma udzielonych odpowiedzi</w:t>
            </w:r>
          </w:p>
        </w:tc>
        <w:tc>
          <w:tcPr>
            <w:tcW w:w="1087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</w:tcPr>
          <w:p w14:paraId="7CF79A76" w14:textId="77777777" w:rsidR="00EB10A6" w:rsidRPr="00EB10A6" w:rsidRDefault="00EB10A6" w:rsidP="008F6039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EB10A6">
              <w:rPr>
                <w:rFonts w:asciiTheme="minorHAnsi" w:hAnsiTheme="minorHAnsi" w:cstheme="minorHAnsi"/>
                <w:lang w:eastAsia="pl-PL"/>
              </w:rPr>
              <w:t>brak prognoz</w:t>
            </w:r>
          </w:p>
        </w:tc>
        <w:tc>
          <w:tcPr>
            <w:tcW w:w="1087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</w:tcPr>
          <w:p w14:paraId="41EDA664" w14:textId="77777777" w:rsidR="00EB10A6" w:rsidRPr="00EB10A6" w:rsidRDefault="00EB10A6" w:rsidP="008F6039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EB10A6">
              <w:rPr>
                <w:rFonts w:asciiTheme="minorHAnsi" w:hAnsiTheme="minorHAnsi" w:cstheme="minorHAnsi"/>
                <w:lang w:eastAsia="pl-PL"/>
              </w:rPr>
              <w:t>poprawa</w:t>
            </w:r>
          </w:p>
        </w:tc>
        <w:tc>
          <w:tcPr>
            <w:tcW w:w="1087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</w:tcPr>
          <w:p w14:paraId="5515182D" w14:textId="77777777" w:rsidR="00EB10A6" w:rsidRPr="00EB10A6" w:rsidRDefault="00EB10A6" w:rsidP="008F6039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EB10A6">
              <w:rPr>
                <w:rFonts w:asciiTheme="minorHAnsi" w:hAnsiTheme="minorHAnsi" w:cstheme="minorHAnsi"/>
                <w:lang w:eastAsia="pl-PL"/>
              </w:rPr>
              <w:t>brak zmiany</w:t>
            </w:r>
          </w:p>
        </w:tc>
        <w:tc>
          <w:tcPr>
            <w:tcW w:w="135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shd w:val="clear" w:color="000000" w:fill="FFF2E9"/>
          </w:tcPr>
          <w:p w14:paraId="254D6BFD" w14:textId="77777777" w:rsidR="00EB10A6" w:rsidRPr="00EB10A6" w:rsidRDefault="00EB10A6" w:rsidP="008F6039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EB10A6">
              <w:rPr>
                <w:rFonts w:asciiTheme="minorHAnsi" w:hAnsiTheme="minorHAnsi" w:cstheme="minorHAnsi"/>
                <w:lang w:eastAsia="pl-PL"/>
              </w:rPr>
              <w:t>pogorszenie</w:t>
            </w:r>
          </w:p>
        </w:tc>
      </w:tr>
      <w:tr w:rsidR="00EB10A6" w:rsidRPr="00EB10A6" w14:paraId="1EA3B99C" w14:textId="77777777" w:rsidTr="008F6039">
        <w:trPr>
          <w:trHeight w:val="60"/>
          <w:jc w:val="center"/>
        </w:trPr>
        <w:tc>
          <w:tcPr>
            <w:tcW w:w="2797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14:paraId="479767FF" w14:textId="77777777" w:rsidR="00EB10A6" w:rsidRPr="00EB10A6" w:rsidRDefault="00EB10A6" w:rsidP="008F6039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  <w:r w:rsidRPr="00EB10A6">
              <w:rPr>
                <w:rFonts w:asciiTheme="minorHAnsi" w:hAnsiTheme="minorHAnsi" w:cstheme="minorHAnsi"/>
                <w:lang w:eastAsia="pl-PL"/>
              </w:rPr>
              <w:t>do końca 2020 roku</w:t>
            </w:r>
          </w:p>
        </w:tc>
        <w:tc>
          <w:tcPr>
            <w:tcW w:w="2227" w:type="dxa"/>
            <w:gridSpan w:val="2"/>
            <w:vMerge w:val="restart"/>
            <w:tcBorders>
              <w:top w:val="single" w:sz="8" w:space="0" w:color="FFDEBF"/>
              <w:left w:val="nil"/>
              <w:right w:val="nil"/>
            </w:tcBorders>
            <w:vAlign w:val="center"/>
          </w:tcPr>
          <w:p w14:paraId="167D87C4" w14:textId="77777777" w:rsidR="00EB10A6" w:rsidRPr="00EB10A6" w:rsidRDefault="00EB10A6" w:rsidP="008F6039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EB10A6">
              <w:rPr>
                <w:rFonts w:asciiTheme="minorHAnsi" w:hAnsiTheme="minorHAnsi" w:cstheme="minorHAnsi"/>
                <w:lang w:eastAsia="pl-PL"/>
              </w:rPr>
              <w:t>110</w:t>
            </w:r>
          </w:p>
        </w:tc>
        <w:tc>
          <w:tcPr>
            <w:tcW w:w="1087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</w:tcPr>
          <w:p w14:paraId="68CE33C8" w14:textId="77777777" w:rsidR="00EB10A6" w:rsidRPr="00EB10A6" w:rsidRDefault="00EB10A6" w:rsidP="008F6039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EB10A6">
              <w:rPr>
                <w:rFonts w:asciiTheme="minorHAnsi" w:hAnsiTheme="minorHAnsi" w:cstheme="minorHAnsi"/>
                <w:lang w:eastAsia="pl-PL"/>
              </w:rPr>
              <w:t>11%</w:t>
            </w:r>
          </w:p>
        </w:tc>
        <w:tc>
          <w:tcPr>
            <w:tcW w:w="1087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</w:tcPr>
          <w:p w14:paraId="49A567BB" w14:textId="77777777" w:rsidR="00EB10A6" w:rsidRPr="00EB10A6" w:rsidRDefault="00EB10A6" w:rsidP="008F6039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EB10A6">
              <w:rPr>
                <w:rFonts w:asciiTheme="minorHAnsi" w:hAnsiTheme="minorHAnsi" w:cstheme="minorHAnsi"/>
                <w:lang w:eastAsia="pl-PL"/>
              </w:rPr>
              <w:t>24%</w:t>
            </w:r>
          </w:p>
        </w:tc>
        <w:tc>
          <w:tcPr>
            <w:tcW w:w="1087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</w:tcPr>
          <w:p w14:paraId="6989563C" w14:textId="77777777" w:rsidR="00EB10A6" w:rsidRPr="00EB10A6" w:rsidRDefault="00EB10A6" w:rsidP="008F6039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EB10A6">
              <w:rPr>
                <w:rFonts w:asciiTheme="minorHAnsi" w:hAnsiTheme="minorHAnsi" w:cstheme="minorHAnsi"/>
                <w:lang w:eastAsia="pl-PL"/>
              </w:rPr>
              <w:t>33%</w:t>
            </w:r>
          </w:p>
        </w:tc>
        <w:tc>
          <w:tcPr>
            <w:tcW w:w="135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</w:tcPr>
          <w:p w14:paraId="54BE2BD0" w14:textId="77777777" w:rsidR="00EB10A6" w:rsidRPr="00EB10A6" w:rsidRDefault="00EB10A6" w:rsidP="008F6039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EB10A6">
              <w:rPr>
                <w:rFonts w:asciiTheme="minorHAnsi" w:hAnsiTheme="minorHAnsi" w:cstheme="minorHAnsi"/>
                <w:lang w:eastAsia="pl-PL"/>
              </w:rPr>
              <w:t>33%</w:t>
            </w:r>
          </w:p>
        </w:tc>
      </w:tr>
      <w:tr w:rsidR="00EB10A6" w:rsidRPr="00EB10A6" w14:paraId="09EC9C19" w14:textId="77777777" w:rsidTr="008F6039">
        <w:trPr>
          <w:trHeight w:val="60"/>
          <w:jc w:val="center"/>
        </w:trPr>
        <w:tc>
          <w:tcPr>
            <w:tcW w:w="2797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  <w:vAlign w:val="center"/>
          </w:tcPr>
          <w:p w14:paraId="0A14507F" w14:textId="77777777" w:rsidR="00EB10A6" w:rsidRPr="00EB10A6" w:rsidRDefault="00EB10A6" w:rsidP="008F6039">
            <w:pPr>
              <w:spacing w:line="276" w:lineRule="auto"/>
              <w:rPr>
                <w:rFonts w:asciiTheme="minorHAnsi" w:hAnsiTheme="minorHAnsi" w:cstheme="minorHAnsi"/>
                <w:lang w:eastAsia="pl-PL"/>
              </w:rPr>
            </w:pPr>
            <w:r w:rsidRPr="00EB10A6">
              <w:rPr>
                <w:rFonts w:asciiTheme="minorHAnsi" w:hAnsiTheme="minorHAnsi" w:cstheme="minorHAnsi"/>
                <w:lang w:eastAsia="pl-PL"/>
              </w:rPr>
              <w:t>w 2021 roku</w:t>
            </w:r>
          </w:p>
        </w:tc>
        <w:tc>
          <w:tcPr>
            <w:tcW w:w="2227" w:type="dxa"/>
            <w:gridSpan w:val="2"/>
            <w:vMerge/>
            <w:tcBorders>
              <w:left w:val="nil"/>
              <w:bottom w:val="single" w:sz="8" w:space="0" w:color="FFDEBF"/>
              <w:right w:val="nil"/>
            </w:tcBorders>
            <w:vAlign w:val="center"/>
          </w:tcPr>
          <w:p w14:paraId="4860BBCD" w14:textId="77777777" w:rsidR="00EB10A6" w:rsidRPr="00EB10A6" w:rsidRDefault="00EB10A6" w:rsidP="008F6039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</w:p>
        </w:tc>
        <w:tc>
          <w:tcPr>
            <w:tcW w:w="1087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</w:tcPr>
          <w:p w14:paraId="421192FF" w14:textId="77777777" w:rsidR="00EB10A6" w:rsidRPr="00EB10A6" w:rsidRDefault="00EB10A6" w:rsidP="008F6039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EB10A6">
              <w:rPr>
                <w:rFonts w:asciiTheme="minorHAnsi" w:hAnsiTheme="minorHAnsi" w:cstheme="minorHAnsi"/>
                <w:lang w:eastAsia="pl-PL"/>
              </w:rPr>
              <w:t>25%</w:t>
            </w:r>
          </w:p>
        </w:tc>
        <w:tc>
          <w:tcPr>
            <w:tcW w:w="1087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</w:tcPr>
          <w:p w14:paraId="37410D37" w14:textId="77777777" w:rsidR="00EB10A6" w:rsidRPr="00EB10A6" w:rsidRDefault="00EB10A6" w:rsidP="008F6039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EB10A6">
              <w:rPr>
                <w:rFonts w:asciiTheme="minorHAnsi" w:hAnsiTheme="minorHAnsi" w:cstheme="minorHAnsi"/>
                <w:lang w:eastAsia="pl-PL"/>
              </w:rPr>
              <w:t>45%</w:t>
            </w:r>
          </w:p>
        </w:tc>
        <w:tc>
          <w:tcPr>
            <w:tcW w:w="1087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</w:tcPr>
          <w:p w14:paraId="55A4C2E2" w14:textId="77777777" w:rsidR="00EB10A6" w:rsidRPr="00EB10A6" w:rsidRDefault="00EB10A6" w:rsidP="008F6039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EB10A6">
              <w:rPr>
                <w:rFonts w:asciiTheme="minorHAnsi" w:hAnsiTheme="minorHAnsi" w:cstheme="minorHAnsi"/>
                <w:lang w:eastAsia="pl-PL"/>
              </w:rPr>
              <w:t>18%</w:t>
            </w:r>
          </w:p>
        </w:tc>
        <w:tc>
          <w:tcPr>
            <w:tcW w:w="1354" w:type="dxa"/>
            <w:tcBorders>
              <w:top w:val="single" w:sz="8" w:space="0" w:color="FFDEBF"/>
              <w:left w:val="nil"/>
              <w:bottom w:val="single" w:sz="8" w:space="0" w:color="FFDEBF"/>
              <w:right w:val="nil"/>
            </w:tcBorders>
          </w:tcPr>
          <w:p w14:paraId="2CD53204" w14:textId="77777777" w:rsidR="00EB10A6" w:rsidRPr="00EB10A6" w:rsidRDefault="00EB10A6" w:rsidP="008F6039">
            <w:pPr>
              <w:spacing w:line="276" w:lineRule="auto"/>
              <w:jc w:val="center"/>
              <w:rPr>
                <w:rFonts w:asciiTheme="minorHAnsi" w:hAnsiTheme="minorHAnsi" w:cstheme="minorHAnsi"/>
                <w:lang w:eastAsia="pl-PL"/>
              </w:rPr>
            </w:pPr>
            <w:r w:rsidRPr="00EB10A6">
              <w:rPr>
                <w:rFonts w:asciiTheme="minorHAnsi" w:hAnsiTheme="minorHAnsi" w:cstheme="minorHAnsi"/>
                <w:lang w:eastAsia="pl-PL"/>
              </w:rPr>
              <w:t>11%</w:t>
            </w:r>
          </w:p>
        </w:tc>
      </w:tr>
    </w:tbl>
    <w:bookmarkEnd w:id="0"/>
    <w:p w14:paraId="552D19FC" w14:textId="77777777" w:rsidR="00EB10A6" w:rsidRPr="00EB10A6" w:rsidRDefault="00EB10A6" w:rsidP="00EB10A6">
      <w:pPr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</w:pPr>
      <w:r w:rsidRPr="00EB10A6"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  <w:t>Źródło: Badanie Sedlak &amp; Sedlak COVID-19</w:t>
      </w:r>
    </w:p>
    <w:p w14:paraId="3E4ACD83" w14:textId="77777777" w:rsidR="00EB10A6" w:rsidRP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</w:p>
    <w:p w14:paraId="56BAE2D2" w14:textId="091A62CA" w:rsidR="00EB10A6" w:rsidRDefault="00EB10A6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  <w:r w:rsidRPr="00EB10A6">
        <w:rPr>
          <w:rStyle w:val="Hipercze"/>
          <w:rFonts w:asciiTheme="minorHAnsi" w:hAnsiTheme="minorHAnsi" w:cstheme="minorHAnsi"/>
          <w:color w:val="auto"/>
          <w:u w:val="none"/>
        </w:rPr>
        <w:t>We wspomnianym badaniu zapytano również o najważniejsze wyzwania stojące przed badanymi na przyszłość. Aż 65% organizacji odpowiedziało, że najważniejszym będzie utrzymanie obecnego zatrudnienia. 42% za priorytet stawia zwiększenie zaangażowania pracowników.</w:t>
      </w:r>
    </w:p>
    <w:p w14:paraId="544CA0A5" w14:textId="77777777" w:rsidR="00E847CC" w:rsidRPr="00EB10A6" w:rsidRDefault="00E847CC" w:rsidP="00EB10A6">
      <w:pPr>
        <w:spacing w:line="276" w:lineRule="auto"/>
        <w:jc w:val="both"/>
        <w:rPr>
          <w:rStyle w:val="Hipercze"/>
          <w:rFonts w:asciiTheme="minorHAnsi" w:hAnsiTheme="minorHAnsi" w:cstheme="minorHAnsi"/>
          <w:color w:val="auto"/>
          <w:u w:val="none"/>
        </w:rPr>
      </w:pPr>
    </w:p>
    <w:p w14:paraId="6893CC88" w14:textId="77777777" w:rsidR="00E847CC" w:rsidRDefault="00EB10A6" w:rsidP="00EB10A6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B10A6">
        <w:rPr>
          <w:rFonts w:asciiTheme="minorHAnsi" w:hAnsiTheme="minorHAnsi" w:cstheme="minorHAnsi"/>
          <w:b/>
          <w:bCs/>
        </w:rPr>
        <w:t xml:space="preserve">Wykres 5. Wyzwania stojące </w:t>
      </w:r>
    </w:p>
    <w:p w14:paraId="5A9C7006" w14:textId="025095E9" w:rsidR="00EB10A6" w:rsidRPr="00EB10A6" w:rsidRDefault="00EB10A6" w:rsidP="00EB10A6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EB10A6">
        <w:rPr>
          <w:rFonts w:asciiTheme="minorHAnsi" w:hAnsiTheme="minorHAnsi" w:cstheme="minorHAnsi"/>
          <w:b/>
          <w:bCs/>
        </w:rPr>
        <w:t>przed badanymi przedsiębiorstwami w najbliższym czasie</w:t>
      </w:r>
    </w:p>
    <w:p w14:paraId="3E8278F0" w14:textId="77777777" w:rsidR="00EB10A6" w:rsidRPr="00EB10A6" w:rsidRDefault="00EB10A6" w:rsidP="00EB10A6">
      <w:pPr>
        <w:spacing w:line="276" w:lineRule="auto"/>
        <w:rPr>
          <w:rFonts w:asciiTheme="minorHAnsi" w:hAnsiTheme="minorHAnsi" w:cstheme="minorHAnsi"/>
          <w:b/>
          <w:bCs/>
        </w:rPr>
      </w:pPr>
      <w:r w:rsidRPr="00EB10A6">
        <w:rPr>
          <w:rFonts w:asciiTheme="minorHAnsi" w:hAnsiTheme="minorHAnsi" w:cstheme="minorHAnsi"/>
          <w:b/>
          <w:bCs/>
          <w:noProof/>
          <w:lang w:eastAsia="pl-PL"/>
        </w:rPr>
        <w:lastRenderedPageBreak/>
        <w:drawing>
          <wp:inline distT="0" distB="0" distL="0" distR="0" wp14:anchorId="39F42C83" wp14:editId="2D5E3E9E">
            <wp:extent cx="6073140" cy="3665220"/>
            <wp:effectExtent l="0" t="0" r="3810" b="0"/>
            <wp:docPr id="11" name="Wykres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460FA6A" w14:textId="77777777" w:rsidR="00360079" w:rsidRDefault="00360079" w:rsidP="00EB10A6">
      <w:pPr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</w:pPr>
    </w:p>
    <w:p w14:paraId="2E66521A" w14:textId="1394F3FD" w:rsidR="00EB10A6" w:rsidRPr="00EB10A6" w:rsidRDefault="00EB10A6" w:rsidP="00EB10A6">
      <w:pPr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</w:pPr>
      <w:r w:rsidRPr="00EB10A6">
        <w:rPr>
          <w:rFonts w:asciiTheme="minorHAnsi" w:hAnsiTheme="minorHAnsi" w:cstheme="minorHAnsi"/>
          <w:i/>
          <w:iCs/>
          <w:sz w:val="18"/>
          <w:szCs w:val="18"/>
          <w:shd w:val="clear" w:color="auto" w:fill="FFFFFF"/>
        </w:rPr>
        <w:t xml:space="preserve"> Źródło: Badanie Sedlak &amp; Sedlak COVID-19</w:t>
      </w:r>
    </w:p>
    <w:p w14:paraId="183F9176" w14:textId="77777777" w:rsidR="00360079" w:rsidRDefault="00360079" w:rsidP="00EB10A6">
      <w:pPr>
        <w:spacing w:line="259" w:lineRule="auto"/>
        <w:jc w:val="both"/>
        <w:rPr>
          <w:rFonts w:asciiTheme="minorHAnsi" w:eastAsiaTheme="minorHAnsi" w:hAnsiTheme="minorHAnsi" w:cstheme="minorBidi"/>
          <w:b/>
          <w:color w:val="002060"/>
        </w:rPr>
      </w:pPr>
    </w:p>
    <w:p w14:paraId="26686ACA" w14:textId="2773959E" w:rsidR="00EB10A6" w:rsidRPr="00EB10A6" w:rsidRDefault="00EB10A6" w:rsidP="00EB10A6">
      <w:pPr>
        <w:spacing w:line="259" w:lineRule="auto"/>
        <w:jc w:val="both"/>
        <w:rPr>
          <w:rFonts w:asciiTheme="minorHAnsi" w:eastAsiaTheme="minorHAnsi" w:hAnsiTheme="minorHAnsi" w:cstheme="minorBidi"/>
          <w:b/>
          <w:color w:val="002060"/>
        </w:rPr>
      </w:pPr>
      <w:r w:rsidRPr="00EB10A6">
        <w:rPr>
          <w:rFonts w:asciiTheme="minorHAnsi" w:eastAsiaTheme="minorHAnsi" w:hAnsiTheme="minorHAnsi" w:cstheme="minorBidi"/>
          <w:b/>
          <w:color w:val="002060"/>
        </w:rPr>
        <w:t>Karolina Jurczak</w:t>
      </w:r>
    </w:p>
    <w:p w14:paraId="0ED59BD5" w14:textId="77777777" w:rsidR="00EB10A6" w:rsidRPr="00EB10A6" w:rsidRDefault="00EB10A6" w:rsidP="00EB10A6">
      <w:pPr>
        <w:spacing w:line="259" w:lineRule="auto"/>
        <w:jc w:val="both"/>
        <w:rPr>
          <w:rFonts w:asciiTheme="minorHAnsi" w:eastAsiaTheme="minorHAnsi" w:hAnsiTheme="minorHAnsi" w:cstheme="minorBidi"/>
          <w:b/>
          <w:color w:val="002060"/>
        </w:rPr>
      </w:pPr>
      <w:r w:rsidRPr="00EB10A6">
        <w:rPr>
          <w:rFonts w:asciiTheme="minorHAnsi" w:eastAsiaTheme="minorHAnsi" w:hAnsiTheme="minorHAnsi" w:cstheme="minorBidi"/>
          <w:b/>
          <w:color w:val="002060"/>
        </w:rPr>
        <w:t>Sedlak &amp; Sedlak</w:t>
      </w:r>
    </w:p>
    <w:p w14:paraId="33C7E2B1" w14:textId="77777777" w:rsidR="00EB10A6" w:rsidRPr="00EB10A6" w:rsidRDefault="00EB10A6" w:rsidP="00EB10A6">
      <w:pPr>
        <w:spacing w:line="276" w:lineRule="auto"/>
        <w:rPr>
          <w:rFonts w:asciiTheme="minorHAnsi" w:hAnsiTheme="minorHAnsi" w:cstheme="minorHAnsi"/>
          <w:b/>
          <w:bCs/>
          <w:shd w:val="clear" w:color="auto" w:fill="FFFFFF"/>
        </w:rPr>
      </w:pPr>
    </w:p>
    <w:p w14:paraId="3868FA0B" w14:textId="77777777" w:rsidR="0000005A" w:rsidRPr="00EB10A6" w:rsidRDefault="0000005A" w:rsidP="00BC1378">
      <w:pPr>
        <w:spacing w:line="276" w:lineRule="auto"/>
        <w:rPr>
          <w:rFonts w:asciiTheme="minorHAnsi" w:eastAsiaTheme="minorHAnsi" w:hAnsiTheme="minorHAnsi" w:cstheme="minorHAnsi"/>
          <w:lang w:eastAsia="pl-PL"/>
        </w:rPr>
      </w:pPr>
    </w:p>
    <w:p w14:paraId="68578441" w14:textId="5FD8B5AA" w:rsidR="008A5839" w:rsidRPr="00EB10A6" w:rsidRDefault="002B3583" w:rsidP="001E4BA6">
      <w:pPr>
        <w:pStyle w:val="aboutus"/>
        <w:spacing w:line="276" w:lineRule="auto"/>
        <w:ind w:left="0"/>
        <w:jc w:val="center"/>
        <w:rPr>
          <w:rFonts w:asciiTheme="minorHAnsi" w:hAnsiTheme="minorHAnsi" w:cstheme="minorHAnsi"/>
          <w:color w:val="auto"/>
          <w:sz w:val="24"/>
          <w:szCs w:val="24"/>
        </w:rPr>
      </w:pPr>
      <w:r w:rsidRPr="00EB10A6">
        <w:rPr>
          <w:rFonts w:asciiTheme="minorHAnsi" w:hAnsiTheme="minorHAnsi" w:cstheme="minorHAnsi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8966CE" wp14:editId="0039C09C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5219700" cy="635"/>
                <wp:effectExtent l="0" t="0" r="19050" b="3746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5682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0;margin-top:2.9pt;width:411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" strokecolor="#54628d" strokeweight="1.5pt"/>
            </w:pict>
          </mc:Fallback>
        </mc:AlternateContent>
      </w:r>
      <w:r w:rsidR="008A5839" w:rsidRPr="00EB10A6">
        <w:rPr>
          <w:rFonts w:asciiTheme="minorHAnsi" w:hAnsiTheme="minorHAnsi" w:cstheme="minorHAnsi"/>
          <w:b w:val="0"/>
          <w:bCs w:val="0"/>
          <w:noProof/>
          <w:color w:val="auto"/>
          <w:sz w:val="24"/>
          <w:szCs w:val="24"/>
        </w:rPr>
        <w:drawing>
          <wp:inline distT="0" distB="0" distL="0" distR="0" wp14:anchorId="429ED6FF" wp14:editId="62AAC290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567698" w14:textId="77777777" w:rsidR="00285E31" w:rsidRPr="00EB10A6" w:rsidRDefault="00285E31" w:rsidP="00285E31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lang w:eastAsia="pl-PL"/>
        </w:rPr>
      </w:pPr>
    </w:p>
    <w:p w14:paraId="0079ADA0" w14:textId="71D0D128" w:rsidR="00326667" w:rsidRPr="00EB10A6" w:rsidRDefault="00EA72FE" w:rsidP="00285E31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lang w:eastAsia="pl-PL"/>
        </w:rPr>
      </w:pPr>
      <w:r w:rsidRPr="00EB10A6">
        <w:rPr>
          <w:rFonts w:asciiTheme="minorHAnsi" w:eastAsia="Calibri" w:hAnsiTheme="minorHAnsi" w:cstheme="minorHAnsi"/>
          <w:b/>
          <w:lang w:eastAsia="pl-PL"/>
        </w:rPr>
        <w:t xml:space="preserve">Sedlak </w:t>
      </w:r>
      <w:r w:rsidRPr="00EB10A6">
        <w:rPr>
          <w:rFonts w:asciiTheme="minorHAnsi" w:eastAsia="Calibri" w:hAnsiTheme="minorHAnsi" w:cstheme="minorHAnsi"/>
          <w:b/>
          <w:sz w:val="18"/>
          <w:szCs w:val="18"/>
          <w:lang w:eastAsia="pl-PL"/>
        </w:rPr>
        <w:t>&amp;</w:t>
      </w:r>
      <w:r w:rsidRPr="00EB10A6">
        <w:rPr>
          <w:rFonts w:asciiTheme="minorHAnsi" w:eastAsia="Calibri" w:hAnsiTheme="minorHAnsi" w:cstheme="minorHAnsi"/>
          <w:b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EB10A6">
        <w:rPr>
          <w:rFonts w:asciiTheme="minorHAnsi" w:eastAsia="Calibri" w:hAnsiTheme="minorHAnsi" w:cstheme="minorHAnsi"/>
          <w:b/>
          <w:lang w:eastAsia="pl-PL"/>
        </w:rPr>
        <w:t xml:space="preserve">zczenie pod artykułem aktywnego </w:t>
      </w:r>
      <w:r w:rsidRPr="00EB10A6">
        <w:rPr>
          <w:rFonts w:asciiTheme="minorHAnsi" w:eastAsia="Calibri" w:hAnsiTheme="minorHAnsi" w:cstheme="minorHAnsi"/>
          <w:b/>
          <w:lang w:eastAsia="pl-PL"/>
        </w:rPr>
        <w:t xml:space="preserve">linku do strony </w:t>
      </w:r>
      <w:r w:rsidR="00326667" w:rsidRPr="00EB10A6">
        <w:rPr>
          <w:rFonts w:asciiTheme="minorHAnsi" w:eastAsia="Calibri" w:hAnsiTheme="minorHAnsi" w:cstheme="minorHAnsi"/>
          <w:b/>
          <w:lang w:eastAsia="pl-PL"/>
        </w:rPr>
        <w:t xml:space="preserve">o wynagrodzeniach </w:t>
      </w:r>
      <w:r w:rsidR="00285E31" w:rsidRPr="00EB10A6">
        <w:rPr>
          <w:rFonts w:asciiTheme="minorHAnsi" w:eastAsia="Calibri" w:hAnsiTheme="minorHAnsi" w:cstheme="minorHAnsi"/>
          <w:b/>
          <w:lang w:eastAsia="pl-PL"/>
        </w:rPr>
        <w:t>Raportu płacowego</w:t>
      </w:r>
      <w:r w:rsidR="00326667" w:rsidRPr="00EB10A6">
        <w:rPr>
          <w:rFonts w:asciiTheme="minorHAnsi" w:eastAsia="Calibri" w:hAnsiTheme="minorHAnsi" w:cstheme="minorHAnsi"/>
          <w:b/>
          <w:lang w:eastAsia="pl-PL"/>
        </w:rPr>
        <w:t>:</w:t>
      </w:r>
      <w:r w:rsidR="00070AED" w:rsidRPr="00EB10A6">
        <w:rPr>
          <w:rFonts w:asciiTheme="minorHAnsi" w:eastAsia="Calibri" w:hAnsiTheme="minorHAnsi" w:cstheme="minorHAnsi"/>
          <w:b/>
          <w:lang w:eastAsia="pl-PL"/>
        </w:rPr>
        <w:t xml:space="preserve"> </w:t>
      </w:r>
    </w:p>
    <w:p w14:paraId="570677D7" w14:textId="397F7CC1" w:rsidR="00326667" w:rsidRPr="00EB10A6" w:rsidRDefault="00EA72FE" w:rsidP="00285E31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lang w:eastAsia="pl-PL"/>
        </w:rPr>
      </w:pPr>
      <w:r w:rsidRPr="00EB10A6">
        <w:rPr>
          <w:rFonts w:asciiTheme="minorHAnsi" w:eastAsia="Calibri" w:hAnsiTheme="minorHAnsi" w:cstheme="minorHAnsi"/>
          <w:b/>
          <w:lang w:eastAsia="pl-PL"/>
        </w:rPr>
        <w:t>(</w:t>
      </w:r>
      <w:r w:rsidR="00285E31" w:rsidRPr="00EB10A6">
        <w:rPr>
          <w:rFonts w:asciiTheme="minorHAnsi" w:hAnsiTheme="minorHAnsi" w:cstheme="minorHAnsi"/>
          <w:b/>
        </w:rPr>
        <w:t>https://wynagrodzenia.pl/raporty-placowe-dla-firm#report</w:t>
      </w:r>
      <w:r w:rsidRPr="00EB10A6">
        <w:rPr>
          <w:rFonts w:asciiTheme="minorHAnsi" w:eastAsia="Calibri" w:hAnsiTheme="minorHAnsi" w:cstheme="minorHAnsi"/>
          <w:b/>
          <w:lang w:eastAsia="pl-PL"/>
        </w:rPr>
        <w:t>)</w:t>
      </w:r>
    </w:p>
    <w:p w14:paraId="2E304D19" w14:textId="77777777" w:rsidR="003974B4" w:rsidRPr="00EB10A6" w:rsidRDefault="00EA72FE" w:rsidP="00285E31">
      <w:p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/>
          <w:bCs/>
          <w:lang w:eastAsia="pl-PL"/>
        </w:rPr>
      </w:pPr>
      <w:r w:rsidRPr="00EB10A6">
        <w:rPr>
          <w:rFonts w:asciiTheme="minorHAnsi" w:eastAsia="Calibri" w:hAnsiTheme="minorHAnsi" w:cstheme="minorHAnsi"/>
          <w:b/>
          <w:lang w:eastAsia="pl-PL"/>
        </w:rPr>
        <w:t xml:space="preserve"> czcionką nie mniejszą niż czcionka użyta w publikacji. </w:t>
      </w:r>
    </w:p>
    <w:sectPr w:rsidR="003974B4" w:rsidRPr="00EB10A6" w:rsidSect="00E107E8">
      <w:headerReference w:type="default" r:id="rId17"/>
      <w:footerReference w:type="default" r:id="rId18"/>
      <w:pgSz w:w="11906" w:h="16838"/>
      <w:pgMar w:top="1950" w:right="1418" w:bottom="1985" w:left="226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BC11A3" w14:textId="77777777" w:rsidR="002031D5" w:rsidRDefault="002031D5">
      <w:r>
        <w:separator/>
      </w:r>
    </w:p>
  </w:endnote>
  <w:endnote w:type="continuationSeparator" w:id="0">
    <w:p w14:paraId="247D0FBD" w14:textId="77777777" w:rsidR="002031D5" w:rsidRDefault="00203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DD97A9" w14:textId="77777777" w:rsidR="0007162A" w:rsidRDefault="002B358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435504" wp14:editId="7921660C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1333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985D8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14:paraId="280FF0DC" w14:textId="77777777"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14:paraId="0697DFD2" w14:textId="77777777"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D4270D" w14:textId="77777777" w:rsidR="002031D5" w:rsidRDefault="002031D5">
      <w:r>
        <w:separator/>
      </w:r>
    </w:p>
  </w:footnote>
  <w:footnote w:type="continuationSeparator" w:id="0">
    <w:p w14:paraId="0BBC41FC" w14:textId="77777777" w:rsidR="002031D5" w:rsidRDefault="00203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93A37F" w14:textId="77777777" w:rsidR="0007162A" w:rsidRDefault="000716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7A34B08D" wp14:editId="526619BE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B3583"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31F66611" wp14:editId="54B65E0F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4B2E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C7451"/>
    <w:multiLevelType w:val="hybridMultilevel"/>
    <w:tmpl w:val="AE0C8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0473A"/>
    <w:multiLevelType w:val="hybridMultilevel"/>
    <w:tmpl w:val="9294D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8B346E"/>
    <w:multiLevelType w:val="hybridMultilevel"/>
    <w:tmpl w:val="1CA2D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3"/>
  </w:num>
  <w:num w:numId="3">
    <w:abstractNumId w:val="7"/>
  </w:num>
  <w:num w:numId="4">
    <w:abstractNumId w:val="13"/>
  </w:num>
  <w:num w:numId="5">
    <w:abstractNumId w:val="10"/>
  </w:num>
  <w:num w:numId="6">
    <w:abstractNumId w:val="22"/>
  </w:num>
  <w:num w:numId="7">
    <w:abstractNumId w:val="20"/>
  </w:num>
  <w:num w:numId="8">
    <w:abstractNumId w:val="6"/>
  </w:num>
  <w:num w:numId="9">
    <w:abstractNumId w:val="0"/>
  </w:num>
  <w:num w:numId="10">
    <w:abstractNumId w:val="5"/>
  </w:num>
  <w:num w:numId="11">
    <w:abstractNumId w:val="16"/>
  </w:num>
  <w:num w:numId="12">
    <w:abstractNumId w:val="12"/>
  </w:num>
  <w:num w:numId="13">
    <w:abstractNumId w:val="1"/>
  </w:num>
  <w:num w:numId="14">
    <w:abstractNumId w:val="2"/>
  </w:num>
  <w:num w:numId="15">
    <w:abstractNumId w:val="17"/>
  </w:num>
  <w:num w:numId="16">
    <w:abstractNumId w:val="11"/>
  </w:num>
  <w:num w:numId="17">
    <w:abstractNumId w:val="21"/>
  </w:num>
  <w:num w:numId="18">
    <w:abstractNumId w:val="14"/>
  </w:num>
  <w:num w:numId="19">
    <w:abstractNumId w:val="18"/>
  </w:num>
  <w:num w:numId="20">
    <w:abstractNumId w:val="8"/>
  </w:num>
  <w:num w:numId="21">
    <w:abstractNumId w:val="4"/>
  </w:num>
  <w:num w:numId="22">
    <w:abstractNumId w:val="9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379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5BD5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1D6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BA6"/>
    <w:rsid w:val="001E4FBA"/>
    <w:rsid w:val="001E681A"/>
    <w:rsid w:val="001F0C21"/>
    <w:rsid w:val="001F1B2A"/>
    <w:rsid w:val="001F4A14"/>
    <w:rsid w:val="001F786C"/>
    <w:rsid w:val="002031D5"/>
    <w:rsid w:val="00212B6F"/>
    <w:rsid w:val="00212D95"/>
    <w:rsid w:val="00213CF8"/>
    <w:rsid w:val="00215F9E"/>
    <w:rsid w:val="00216A20"/>
    <w:rsid w:val="002209F7"/>
    <w:rsid w:val="00224816"/>
    <w:rsid w:val="00227337"/>
    <w:rsid w:val="00233678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758F1"/>
    <w:rsid w:val="00283CA9"/>
    <w:rsid w:val="00284A21"/>
    <w:rsid w:val="00285E3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D74D8"/>
    <w:rsid w:val="002E18BF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26667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079"/>
    <w:rsid w:val="0036020E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3EBA"/>
    <w:rsid w:val="003A443A"/>
    <w:rsid w:val="003A73F1"/>
    <w:rsid w:val="003B1BE0"/>
    <w:rsid w:val="003B35F2"/>
    <w:rsid w:val="003B5D5E"/>
    <w:rsid w:val="003C1054"/>
    <w:rsid w:val="003C5113"/>
    <w:rsid w:val="003C54DE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371E5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5078F7"/>
    <w:rsid w:val="005111D8"/>
    <w:rsid w:val="00514744"/>
    <w:rsid w:val="00526EBB"/>
    <w:rsid w:val="0052750E"/>
    <w:rsid w:val="005316C8"/>
    <w:rsid w:val="00537F5A"/>
    <w:rsid w:val="00545D3A"/>
    <w:rsid w:val="005463F9"/>
    <w:rsid w:val="00552191"/>
    <w:rsid w:val="0057587E"/>
    <w:rsid w:val="00582349"/>
    <w:rsid w:val="00582F2E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40874"/>
    <w:rsid w:val="0064290F"/>
    <w:rsid w:val="0064418A"/>
    <w:rsid w:val="00644723"/>
    <w:rsid w:val="006470E5"/>
    <w:rsid w:val="0065157C"/>
    <w:rsid w:val="00657E85"/>
    <w:rsid w:val="00662A81"/>
    <w:rsid w:val="0066353F"/>
    <w:rsid w:val="00670A17"/>
    <w:rsid w:val="0067729F"/>
    <w:rsid w:val="006812B2"/>
    <w:rsid w:val="00681531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05A8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2881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0081"/>
    <w:rsid w:val="007E70B5"/>
    <w:rsid w:val="007F38A1"/>
    <w:rsid w:val="007F4398"/>
    <w:rsid w:val="007F5138"/>
    <w:rsid w:val="007F51CD"/>
    <w:rsid w:val="00803F7F"/>
    <w:rsid w:val="00805DAA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6335D"/>
    <w:rsid w:val="00874486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520B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B7A7A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70925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551A3"/>
    <w:rsid w:val="00B555C3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868BB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12EE"/>
    <w:rsid w:val="00DD2031"/>
    <w:rsid w:val="00DD6B93"/>
    <w:rsid w:val="00DE42DC"/>
    <w:rsid w:val="00DE45D2"/>
    <w:rsid w:val="00DE51D1"/>
    <w:rsid w:val="00DF4FAF"/>
    <w:rsid w:val="00DF6CF5"/>
    <w:rsid w:val="00DF70A4"/>
    <w:rsid w:val="00E046DB"/>
    <w:rsid w:val="00E107E8"/>
    <w:rsid w:val="00E141CB"/>
    <w:rsid w:val="00E21303"/>
    <w:rsid w:val="00E21387"/>
    <w:rsid w:val="00E31334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7CC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10A6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78F"/>
    <w:rsid w:val="00F54B4E"/>
    <w:rsid w:val="00F55C5D"/>
    <w:rsid w:val="00F665B1"/>
    <w:rsid w:val="00F67D9B"/>
    <w:rsid w:val="00F7356C"/>
    <w:rsid w:val="00F75544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B796D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4:docId w14:val="0E587B06"/>
  <w15:docId w15:val="{C11CA177-1121-4AF7-BB88-C53639E13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agwek2"/>
    <w:next w:val="Normalny"/>
    <w:qFormat/>
    <w:rsid w:val="0097520B"/>
    <w:pPr>
      <w:jc w:val="left"/>
      <w:outlineLvl w:val="2"/>
    </w:pPr>
    <w:rPr>
      <w:rFonts w:asciiTheme="minorHAnsi" w:hAnsiTheme="minorHAnsi" w:cstheme="minorHAnsi"/>
      <w:color w:val="1F497D" w:themeColor="text2"/>
      <w:sz w:val="26"/>
      <w:szCs w:val="26"/>
      <w:lang w:val="pl-PL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Domylnaczcionkaakapitu"/>
    <w:rsid w:val="001061D6"/>
  </w:style>
  <w:style w:type="character" w:customStyle="1" w:styleId="small">
    <w:name w:val="small"/>
    <w:basedOn w:val="Domylnaczcionkaakapitu"/>
    <w:rsid w:val="001061D6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520B"/>
    <w:rPr>
      <w:color w:val="605E5C"/>
      <w:shd w:val="clear" w:color="auto" w:fill="E1DFDD"/>
    </w:rPr>
  </w:style>
  <w:style w:type="character" w:customStyle="1" w:styleId="wykressedlakZnak">
    <w:name w:val="wykressedlak Znak"/>
    <w:basedOn w:val="Domylnaczcionkaakapitu"/>
    <w:link w:val="wykressedlak"/>
    <w:locked/>
    <w:rsid w:val="00EB10A6"/>
    <w:rPr>
      <w:b/>
      <w:color w:val="002060"/>
      <w:sz w:val="24"/>
    </w:rPr>
  </w:style>
  <w:style w:type="paragraph" w:customStyle="1" w:styleId="wykressedlak">
    <w:name w:val="wykressedlak"/>
    <w:basedOn w:val="Normalny"/>
    <w:link w:val="wykressedlakZnak"/>
    <w:qFormat/>
    <w:rsid w:val="00EB10A6"/>
    <w:pPr>
      <w:spacing w:line="276" w:lineRule="auto"/>
      <w:jc w:val="center"/>
    </w:pPr>
    <w:rPr>
      <w:rFonts w:ascii="Calibri" w:eastAsia="Calibri" w:hAnsi="Calibri"/>
      <w:b/>
      <w:color w:val="00206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3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hyperlink" Target="http://www.wynagrodzenia.pl/" TargetMode="External"/><Relationship Id="rId10" Type="http://schemas.openxmlformats.org/officeDocument/2006/relationships/hyperlink" Target="https://forsal.pl/tagi/gospodarka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edia@sedlak.pl" TargetMode="External"/><Relationship Id="rId14" Type="http://schemas.openxmlformats.org/officeDocument/2006/relationships/chart" Target="charts/chart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2EEA-4F30-A99D-64D3F426091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Arkusz1!$A$2:$A$19</c:f>
              <c:strCache>
                <c:ptCount val="18"/>
                <c:pt idx="0">
                  <c:v>Norwegia</c:v>
                </c:pt>
                <c:pt idx="1">
                  <c:v>Czechy</c:v>
                </c:pt>
                <c:pt idx="2">
                  <c:v>Islandia</c:v>
                </c:pt>
                <c:pt idx="3">
                  <c:v>Polska</c:v>
                </c:pt>
                <c:pt idx="4">
                  <c:v>Rumunia</c:v>
                </c:pt>
                <c:pt idx="5">
                  <c:v>Wielka Brytania</c:v>
                </c:pt>
                <c:pt idx="6">
                  <c:v>Niemcy</c:v>
                </c:pt>
                <c:pt idx="7">
                  <c:v>Luksemburg</c:v>
                </c:pt>
                <c:pt idx="8">
                  <c:v>Węgry</c:v>
                </c:pt>
                <c:pt idx="9">
                  <c:v>Unia Europejska</c:v>
                </c:pt>
                <c:pt idx="10">
                  <c:v>Włochy</c:v>
                </c:pt>
                <c:pt idx="11">
                  <c:v>strefa euro</c:v>
                </c:pt>
                <c:pt idx="12">
                  <c:v>Słowacja</c:v>
                </c:pt>
                <c:pt idx="13">
                  <c:v>Grecja</c:v>
                </c:pt>
                <c:pt idx="14">
                  <c:v>Hiszpania</c:v>
                </c:pt>
                <c:pt idx="15">
                  <c:v>Portugalia</c:v>
                </c:pt>
                <c:pt idx="16">
                  <c:v>Chorwacja</c:v>
                </c:pt>
                <c:pt idx="17">
                  <c:v>Francja</c:v>
                </c:pt>
              </c:strCache>
            </c:strRef>
          </c:cat>
          <c:val>
            <c:numRef>
              <c:f>Arkusz1!$B$2:$B$19</c:f>
              <c:numCache>
                <c:formatCode>0.0%</c:formatCode>
                <c:ptCount val="18"/>
                <c:pt idx="0">
                  <c:v>2.8000000000000001E-2</c:v>
                </c:pt>
                <c:pt idx="1">
                  <c:v>3.1E-2</c:v>
                </c:pt>
                <c:pt idx="2">
                  <c:v>3.1E-2</c:v>
                </c:pt>
                <c:pt idx="3">
                  <c:v>3.3000000000000002E-2</c:v>
                </c:pt>
                <c:pt idx="4">
                  <c:v>3.3000000000000002E-2</c:v>
                </c:pt>
                <c:pt idx="5">
                  <c:v>3.3000000000000002E-2</c:v>
                </c:pt>
                <c:pt idx="6">
                  <c:v>3.5000000000000003E-2</c:v>
                </c:pt>
                <c:pt idx="7">
                  <c:v>3.9E-2</c:v>
                </c:pt>
                <c:pt idx="8">
                  <c:v>0.04</c:v>
                </c:pt>
                <c:pt idx="9">
                  <c:v>4.1000000000000002E-2</c:v>
                </c:pt>
                <c:pt idx="10">
                  <c:v>4.1000000000000002E-2</c:v>
                </c:pt>
                <c:pt idx="11">
                  <c:v>4.2000000000000003E-2</c:v>
                </c:pt>
                <c:pt idx="12">
                  <c:v>4.7E-2</c:v>
                </c:pt>
                <c:pt idx="13">
                  <c:v>0.05</c:v>
                </c:pt>
                <c:pt idx="14">
                  <c:v>5.3999999999999999E-2</c:v>
                </c:pt>
                <c:pt idx="15">
                  <c:v>5.3999999999999999E-2</c:v>
                </c:pt>
                <c:pt idx="16">
                  <c:v>5.7000000000000002E-2</c:v>
                </c:pt>
                <c:pt idx="17">
                  <c:v>5.8000000000000003E-2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EEA-4F30-A99D-64D3F426091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69135208"/>
        <c:axId val="169133640"/>
      </c:barChart>
      <c:catAx>
        <c:axId val="16913520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69133640"/>
        <c:crosses val="autoZero"/>
        <c:auto val="1"/>
        <c:lblAlgn val="ctr"/>
        <c:lblOffset val="100"/>
        <c:noMultiLvlLbl val="0"/>
      </c:catAx>
      <c:valAx>
        <c:axId val="169133640"/>
        <c:scaling>
          <c:orientation val="minMax"/>
        </c:scaling>
        <c:delete val="0"/>
        <c:axPos val="b"/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6913520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dPt>
            <c:idx val="25"/>
            <c:invertIfNegative val="0"/>
            <c:bubble3D val="0"/>
            <c:spPr>
              <a:solidFill>
                <a:schemeClr val="accent2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0538-4BC1-A358-C487D314224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Arkusz1!$A$2:$A$30</c:f>
              <c:strCache>
                <c:ptCount val="29"/>
                <c:pt idx="0">
                  <c:v>Francja</c:v>
                </c:pt>
                <c:pt idx="1">
                  <c:v>Hiszpania</c:v>
                </c:pt>
                <c:pt idx="2">
                  <c:v>Grecja</c:v>
                </c:pt>
                <c:pt idx="3">
                  <c:v>Austria</c:v>
                </c:pt>
                <c:pt idx="4">
                  <c:v>Włochy</c:v>
                </c:pt>
                <c:pt idx="5">
                  <c:v>Czechy</c:v>
                </c:pt>
                <c:pt idx="6">
                  <c:v>Finlandia</c:v>
                </c:pt>
                <c:pt idx="7">
                  <c:v>strefa euro</c:v>
                </c:pt>
                <c:pt idx="8">
                  <c:v>Chorwacja</c:v>
                </c:pt>
                <c:pt idx="9">
                  <c:v>Holandia</c:v>
                </c:pt>
                <c:pt idx="10">
                  <c:v>Estonia</c:v>
                </c:pt>
                <c:pt idx="11">
                  <c:v>Cypr</c:v>
                </c:pt>
                <c:pt idx="12">
                  <c:v>Dania</c:v>
                </c:pt>
                <c:pt idx="13">
                  <c:v>Unia Europejska</c:v>
                </c:pt>
                <c:pt idx="14">
                  <c:v>Słowenia</c:v>
                </c:pt>
                <c:pt idx="15">
                  <c:v>Malta</c:v>
                </c:pt>
                <c:pt idx="16">
                  <c:v>Luksemburg</c:v>
                </c:pt>
                <c:pt idx="17">
                  <c:v>Portugalia</c:v>
                </c:pt>
                <c:pt idx="18">
                  <c:v>Szwecja</c:v>
                </c:pt>
                <c:pt idx="19">
                  <c:v>Niemcy</c:v>
                </c:pt>
                <c:pt idx="20">
                  <c:v>Łotwa</c:v>
                </c:pt>
                <c:pt idx="21">
                  <c:v>Słowacja</c:v>
                </c:pt>
                <c:pt idx="22">
                  <c:v>Irlandia</c:v>
                </c:pt>
                <c:pt idx="23">
                  <c:v>Litwa</c:v>
                </c:pt>
                <c:pt idx="24">
                  <c:v>Belgia</c:v>
                </c:pt>
                <c:pt idx="25">
                  <c:v>Polska</c:v>
                </c:pt>
                <c:pt idx="26">
                  <c:v>Rumunia</c:v>
                </c:pt>
                <c:pt idx="27">
                  <c:v>Bułgaria</c:v>
                </c:pt>
                <c:pt idx="28">
                  <c:v>Węgry</c:v>
                </c:pt>
              </c:strCache>
            </c:strRef>
          </c:cat>
          <c:val>
            <c:numRef>
              <c:f>Arkusz1!$B$2:$B$30</c:f>
              <c:numCache>
                <c:formatCode>0.0%</c:formatCode>
                <c:ptCount val="29"/>
                <c:pt idx="0">
                  <c:v>-1.6E-2</c:v>
                </c:pt>
                <c:pt idx="1">
                  <c:v>0</c:v>
                </c:pt>
                <c:pt idx="2">
                  <c:v>3.0000000000000001E-3</c:v>
                </c:pt>
                <c:pt idx="3">
                  <c:v>5.0000000000000001E-3</c:v>
                </c:pt>
                <c:pt idx="4">
                  <c:v>6.0000000000000001E-3</c:v>
                </c:pt>
                <c:pt idx="5">
                  <c:v>8.9999999999999993E-3</c:v>
                </c:pt>
                <c:pt idx="6">
                  <c:v>0.01</c:v>
                </c:pt>
                <c:pt idx="7">
                  <c:v>1.2E-2</c:v>
                </c:pt>
                <c:pt idx="8">
                  <c:v>1.2E-2</c:v>
                </c:pt>
                <c:pt idx="9">
                  <c:v>1.2999999999999999E-2</c:v>
                </c:pt>
                <c:pt idx="10">
                  <c:v>1.4999999999999999E-2</c:v>
                </c:pt>
                <c:pt idx="11">
                  <c:v>1.7000000000000001E-2</c:v>
                </c:pt>
                <c:pt idx="12">
                  <c:v>1.7000000000000001E-2</c:v>
                </c:pt>
                <c:pt idx="13">
                  <c:v>1.7000000000000001E-2</c:v>
                </c:pt>
                <c:pt idx="14">
                  <c:v>1.7999999999999999E-2</c:v>
                </c:pt>
                <c:pt idx="15">
                  <c:v>0.02</c:v>
                </c:pt>
                <c:pt idx="16">
                  <c:v>2.3E-2</c:v>
                </c:pt>
                <c:pt idx="17">
                  <c:v>2.3E-2</c:v>
                </c:pt>
                <c:pt idx="18">
                  <c:v>2.3E-2</c:v>
                </c:pt>
                <c:pt idx="19">
                  <c:v>2.8000000000000001E-2</c:v>
                </c:pt>
                <c:pt idx="20">
                  <c:v>3.3000000000000002E-2</c:v>
                </c:pt>
                <c:pt idx="21">
                  <c:v>3.5000000000000003E-2</c:v>
                </c:pt>
                <c:pt idx="22">
                  <c:v>3.6999999999999998E-2</c:v>
                </c:pt>
                <c:pt idx="23">
                  <c:v>3.6999999999999998E-2</c:v>
                </c:pt>
                <c:pt idx="24">
                  <c:v>4.2999999999999997E-2</c:v>
                </c:pt>
                <c:pt idx="25">
                  <c:v>4.2999999999999997E-2</c:v>
                </c:pt>
                <c:pt idx="26">
                  <c:v>4.5999999999999999E-2</c:v>
                </c:pt>
                <c:pt idx="27">
                  <c:v>4.7E-2</c:v>
                </c:pt>
                <c:pt idx="28">
                  <c:v>4.7E-2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0538-4BC1-A358-C487D314224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69134032"/>
        <c:axId val="169135600"/>
      </c:barChart>
      <c:catAx>
        <c:axId val="16913403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69135600"/>
        <c:crosses val="autoZero"/>
        <c:auto val="1"/>
        <c:lblAlgn val="ctr"/>
        <c:lblOffset val="100"/>
        <c:noMultiLvlLbl val="0"/>
      </c:catAx>
      <c:valAx>
        <c:axId val="169135600"/>
        <c:scaling>
          <c:orientation val="minMax"/>
        </c:scaling>
        <c:delete val="0"/>
        <c:axPos val="b"/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6913403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00B050"/>
            </a:solidFill>
            <a:ln>
              <a:noFill/>
            </a:ln>
            <a:effectLst/>
          </c:spPr>
          <c:invertIfNegative val="0"/>
          <c:dPt>
            <c:idx val="25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BBB3-40D1-BCC1-8DD7445D98B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Arkusz1!$A$2:$A$31</c:f>
              <c:strCache>
                <c:ptCount val="30"/>
                <c:pt idx="0">
                  <c:v>Francja</c:v>
                </c:pt>
                <c:pt idx="1">
                  <c:v>Hiszpania</c:v>
                </c:pt>
                <c:pt idx="2">
                  <c:v>Austria</c:v>
                </c:pt>
                <c:pt idx="3">
                  <c:v>Czechy</c:v>
                </c:pt>
                <c:pt idx="4">
                  <c:v>Grecja</c:v>
                </c:pt>
                <c:pt idx="5">
                  <c:v>Wielka Brytania</c:v>
                </c:pt>
                <c:pt idx="6">
                  <c:v>Finlandia</c:v>
                </c:pt>
                <c:pt idx="7">
                  <c:v>Włochy</c:v>
                </c:pt>
                <c:pt idx="8">
                  <c:v>Holandia</c:v>
                </c:pt>
                <c:pt idx="9">
                  <c:v>strefa euro</c:v>
                </c:pt>
                <c:pt idx="10">
                  <c:v>Chorwacja</c:v>
                </c:pt>
                <c:pt idx="11">
                  <c:v>Estonia</c:v>
                </c:pt>
                <c:pt idx="12">
                  <c:v>Malta</c:v>
                </c:pt>
                <c:pt idx="13">
                  <c:v>Dania</c:v>
                </c:pt>
                <c:pt idx="14">
                  <c:v>Słowenia</c:v>
                </c:pt>
                <c:pt idx="15">
                  <c:v>Unia Europejska</c:v>
                </c:pt>
                <c:pt idx="16">
                  <c:v>Cypr </c:v>
                </c:pt>
                <c:pt idx="17">
                  <c:v>Portugalia</c:v>
                </c:pt>
                <c:pt idx="18">
                  <c:v>Luksemburg</c:v>
                </c:pt>
                <c:pt idx="19">
                  <c:v>Niemcy</c:v>
                </c:pt>
                <c:pt idx="20">
                  <c:v>Węgry</c:v>
                </c:pt>
                <c:pt idx="21">
                  <c:v>Łotwa</c:v>
                </c:pt>
                <c:pt idx="22">
                  <c:v>Szwecja</c:v>
                </c:pt>
                <c:pt idx="23">
                  <c:v>Rumunia</c:v>
                </c:pt>
                <c:pt idx="24">
                  <c:v>Litwa</c:v>
                </c:pt>
                <c:pt idx="25">
                  <c:v>Polska</c:v>
                </c:pt>
                <c:pt idx="26">
                  <c:v>Irlandia</c:v>
                </c:pt>
                <c:pt idx="27">
                  <c:v>Słowacja</c:v>
                </c:pt>
                <c:pt idx="28">
                  <c:v>Bułgaria</c:v>
                </c:pt>
                <c:pt idx="29">
                  <c:v>Belgia</c:v>
                </c:pt>
              </c:strCache>
            </c:strRef>
          </c:cat>
          <c:val>
            <c:numRef>
              <c:f>Arkusz1!$B$2:$B$31</c:f>
              <c:numCache>
                <c:formatCode>0.0%</c:formatCode>
                <c:ptCount val="30"/>
                <c:pt idx="0">
                  <c:v>-2.3E-2</c:v>
                </c:pt>
                <c:pt idx="1">
                  <c:v>-1.2E-2</c:v>
                </c:pt>
                <c:pt idx="2">
                  <c:v>-1.2E-2</c:v>
                </c:pt>
                <c:pt idx="3">
                  <c:v>-1.0999999999999999E-2</c:v>
                </c:pt>
                <c:pt idx="4">
                  <c:v>-6.0000000000000001E-3</c:v>
                </c:pt>
                <c:pt idx="5">
                  <c:v>-6.0000000000000001E-3</c:v>
                </c:pt>
                <c:pt idx="6">
                  <c:v>-3.0000000000000001E-3</c:v>
                </c:pt>
                <c:pt idx="7">
                  <c:v>-1E-3</c:v>
                </c:pt>
                <c:pt idx="8">
                  <c:v>0</c:v>
                </c:pt>
                <c:pt idx="9">
                  <c:v>0</c:v>
                </c:pt>
                <c:pt idx="10">
                  <c:v>0</c:v>
                </c:pt>
                <c:pt idx="11">
                  <c:v>1E-3</c:v>
                </c:pt>
                <c:pt idx="12">
                  <c:v>4.0000000000000001E-3</c:v>
                </c:pt>
                <c:pt idx="13">
                  <c:v>4.0000000000000001E-3</c:v>
                </c:pt>
                <c:pt idx="14">
                  <c:v>5.0000000000000001E-3</c:v>
                </c:pt>
                <c:pt idx="15">
                  <c:v>5.0000000000000001E-3</c:v>
                </c:pt>
                <c:pt idx="16">
                  <c:v>8.0000000000000002E-3</c:v>
                </c:pt>
                <c:pt idx="17">
                  <c:v>8.0000000000000002E-3</c:v>
                </c:pt>
                <c:pt idx="18">
                  <c:v>8.9999999999999993E-3</c:v>
                </c:pt>
                <c:pt idx="19">
                  <c:v>1.2E-2</c:v>
                </c:pt>
                <c:pt idx="20">
                  <c:v>1.2999999999999999E-2</c:v>
                </c:pt>
                <c:pt idx="21">
                  <c:v>1.4999999999999999E-2</c:v>
                </c:pt>
                <c:pt idx="22">
                  <c:v>1.4999999999999999E-2</c:v>
                </c:pt>
                <c:pt idx="23">
                  <c:v>2.1999999999999999E-2</c:v>
                </c:pt>
                <c:pt idx="24">
                  <c:v>2.3E-2</c:v>
                </c:pt>
                <c:pt idx="25">
                  <c:v>2.3E-2</c:v>
                </c:pt>
                <c:pt idx="26">
                  <c:v>2.5000000000000001E-2</c:v>
                </c:pt>
                <c:pt idx="27">
                  <c:v>2.5999999999999999E-2</c:v>
                </c:pt>
                <c:pt idx="28">
                  <c:v>2.5999999999999999E-2</c:v>
                </c:pt>
                <c:pt idx="29">
                  <c:v>2.8000000000000001E-2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BB3-40D1-BCC1-8DD7445D98B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69136384"/>
        <c:axId val="169136776"/>
      </c:barChart>
      <c:catAx>
        <c:axId val="1691363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69136776"/>
        <c:crosses val="autoZero"/>
        <c:auto val="1"/>
        <c:lblAlgn val="ctr"/>
        <c:lblOffset val="100"/>
        <c:noMultiLvlLbl val="0"/>
      </c:catAx>
      <c:valAx>
        <c:axId val="169136776"/>
        <c:scaling>
          <c:orientation val="minMax"/>
        </c:scaling>
        <c:delete val="0"/>
        <c:axPos val="b"/>
        <c:numFmt formatCode="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691363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Arkusz1!$B$1</c:f>
              <c:strCache>
                <c:ptCount val="1"/>
                <c:pt idx="0">
                  <c:v>Seria 1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1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Arkusz1!$A$2:$A$9</c:f>
              <c:strCache>
                <c:ptCount val="8"/>
                <c:pt idx="0">
                  <c:v>wdrożenie nowych narzędzi i kanałów  komunikacji z pracownikami </c:v>
                </c:pt>
                <c:pt idx="1">
                  <c:v>wdrożenie restrykcji odnośnie zarządzania kosztami pracowniczymi</c:v>
                </c:pt>
                <c:pt idx="2">
                  <c:v>opracowanie procedur dot. zdanego przyjęcie do pracy (onboarding online/ szkolenia bhp)</c:v>
                </c:pt>
                <c:pt idx="3">
                  <c:v>wdrożenie szkoleń online</c:v>
                </c:pt>
                <c:pt idx="4">
                  <c:v>przygotowanie organizacji na powrót pracowników, którzy pracują zdalnie</c:v>
                </c:pt>
                <c:pt idx="5">
                  <c:v>zwiększenie zaangażowania pracowników</c:v>
                </c:pt>
                <c:pt idx="6">
                  <c:v>opracowanie strategii działań na najbliższe miesiące z uwzględnieniem różnych scenariuszy dotyczących COVID19</c:v>
                </c:pt>
                <c:pt idx="7">
                  <c:v>utrzymanie zatrudnienia</c:v>
                </c:pt>
              </c:strCache>
            </c:strRef>
          </c:cat>
          <c:val>
            <c:numRef>
              <c:f>Arkusz1!$B$2:$B$9</c:f>
              <c:numCache>
                <c:formatCode>0%</c:formatCode>
                <c:ptCount val="8"/>
                <c:pt idx="0">
                  <c:v>0.21929824561403508</c:v>
                </c:pt>
                <c:pt idx="1">
                  <c:v>0.22807017543859648</c:v>
                </c:pt>
                <c:pt idx="2">
                  <c:v>0.23684210526315788</c:v>
                </c:pt>
                <c:pt idx="3">
                  <c:v>0.32456140350877194</c:v>
                </c:pt>
                <c:pt idx="4">
                  <c:v>0.40350877192982454</c:v>
                </c:pt>
                <c:pt idx="5">
                  <c:v>0.42105263157894735</c:v>
                </c:pt>
                <c:pt idx="6">
                  <c:v>0.60526315789473684</c:v>
                </c:pt>
                <c:pt idx="7">
                  <c:v>0.64912280701754388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27F-4ECC-B06F-958732EE9A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29484600"/>
        <c:axId val="129483032"/>
      </c:barChart>
      <c:catAx>
        <c:axId val="129484600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29483032"/>
        <c:crosses val="autoZero"/>
        <c:auto val="1"/>
        <c:lblAlgn val="ctr"/>
        <c:lblOffset val="100"/>
        <c:noMultiLvlLbl val="0"/>
      </c:catAx>
      <c:valAx>
        <c:axId val="129483032"/>
        <c:scaling>
          <c:orientation val="minMax"/>
        </c:scaling>
        <c:delete val="0"/>
        <c:axPos val="b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294846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79ED4A-DE84-452F-BFA8-ACA0B1FC7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1026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7168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Karolina Jurczak</cp:lastModifiedBy>
  <cp:revision>6</cp:revision>
  <cp:lastPrinted>2020-12-14T11:04:00Z</cp:lastPrinted>
  <dcterms:created xsi:type="dcterms:W3CDTF">2020-11-24T12:42:00Z</dcterms:created>
  <dcterms:modified xsi:type="dcterms:W3CDTF">2020-12-18T08:23:00Z</dcterms:modified>
</cp:coreProperties>
</file>