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5463F9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16.08</w:t>
      </w:r>
      <w:r w:rsidR="00881459">
        <w:rPr>
          <w:rFonts w:asciiTheme="minorHAnsi" w:hAnsiTheme="minorHAnsi"/>
          <w:b w:val="0"/>
          <w:bCs w:val="0"/>
          <w:sz w:val="20"/>
        </w:rPr>
        <w:t>.2016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  <w:r w:rsidRPr="00A217F4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 wp14:anchorId="60798EDB" wp14:editId="326A5B19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FB796D" w:rsidRPr="00A217F4" w:rsidRDefault="007E4E36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 xml:space="preserve">Iwona </w:t>
      </w:r>
      <w:r w:rsidR="00F12AE0">
        <w:rPr>
          <w:rFonts w:asciiTheme="minorHAnsi" w:hAnsiTheme="minorHAnsi"/>
          <w:b/>
          <w:bCs/>
        </w:rPr>
        <w:t>W</w:t>
      </w:r>
      <w:r>
        <w:rPr>
          <w:rFonts w:asciiTheme="minorHAnsi" w:hAnsiTheme="minorHAnsi"/>
          <w:b/>
          <w:bCs/>
        </w:rPr>
        <w:t>abik</w:t>
      </w:r>
      <w:r w:rsidR="007576A5">
        <w:rPr>
          <w:rFonts w:asciiTheme="minorHAnsi" w:hAnsiTheme="minorHAnsi"/>
          <w:b/>
          <w:bCs/>
        </w:rPr>
        <w:t>-Szuba</w:t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</w:rPr>
      </w:pPr>
      <w:r w:rsidRPr="00A217F4">
        <w:rPr>
          <w:rFonts w:asciiTheme="minorHAnsi" w:hAnsiTheme="minorHAnsi"/>
        </w:rPr>
        <w:t xml:space="preserve">tel. </w:t>
      </w:r>
      <w:r w:rsidR="007E4E36">
        <w:rPr>
          <w:rFonts w:asciiTheme="minorHAnsi" w:hAnsiTheme="minorHAnsi"/>
        </w:rPr>
        <w:t>797 990</w:t>
      </w:r>
      <w:r w:rsidR="00BE15EA" w:rsidRPr="00A217F4">
        <w:rPr>
          <w:rFonts w:asciiTheme="minorHAnsi" w:hAnsiTheme="minorHAnsi"/>
        </w:rPr>
        <w:t> </w:t>
      </w:r>
      <w:r w:rsidR="007E4E36">
        <w:rPr>
          <w:rFonts w:asciiTheme="minorHAnsi" w:hAnsiTheme="minorHAnsi"/>
        </w:rPr>
        <w:t>795</w:t>
      </w:r>
    </w:p>
    <w:p w:rsidR="006D03DA" w:rsidRPr="00A217F4" w:rsidRDefault="002F5F1A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Pr="00371EAB">
          <w:rPr>
            <w:rStyle w:val="Hipercze"/>
            <w:rFonts w:asciiTheme="minorHAnsi" w:hAnsiTheme="minorHAnsi" w:cs="Arial"/>
            <w:b w:val="0"/>
            <w:sz w:val="20"/>
          </w:rPr>
          <w:t>wabik@sedlak.pl</w:t>
        </w:r>
      </w:hyperlink>
      <w:r w:rsidR="006D03DA" w:rsidRPr="00A217F4">
        <w:rPr>
          <w:rFonts w:asciiTheme="minorHAnsi" w:hAnsiTheme="minorHAnsi" w:cs="Arial"/>
          <w:b w:val="0"/>
          <w:color w:val="000080"/>
          <w:sz w:val="20"/>
        </w:rPr>
        <w:t xml:space="preserve"> </w:t>
      </w:r>
    </w:p>
    <w:p w:rsidR="001061D6" w:rsidRPr="001061D6" w:rsidRDefault="001061D6" w:rsidP="001061D6">
      <w:pPr>
        <w:jc w:val="center"/>
        <w:rPr>
          <w:rFonts w:asciiTheme="minorHAnsi" w:hAnsiTheme="minorHAnsi"/>
        </w:rPr>
      </w:pPr>
    </w:p>
    <w:p w:rsidR="007E4E36" w:rsidRPr="007E4E36" w:rsidRDefault="007E4E36" w:rsidP="007E4E36">
      <w:pPr>
        <w:jc w:val="center"/>
        <w:rPr>
          <w:rFonts w:asciiTheme="minorHAnsi" w:hAnsiTheme="minorHAnsi"/>
          <w:b/>
          <w:color w:val="002060"/>
          <w:sz w:val="44"/>
        </w:rPr>
      </w:pPr>
      <w:r w:rsidRPr="007E4E36">
        <w:rPr>
          <w:rFonts w:asciiTheme="minorHAnsi" w:hAnsiTheme="minorHAnsi"/>
          <w:b/>
          <w:color w:val="002060"/>
          <w:sz w:val="44"/>
        </w:rPr>
        <w:t xml:space="preserve">Podsumowanie raportu </w:t>
      </w:r>
      <w:r w:rsidRPr="007E4E36">
        <w:rPr>
          <w:rFonts w:asciiTheme="minorHAnsi" w:hAnsiTheme="minorHAnsi"/>
          <w:b/>
          <w:color w:val="002060"/>
          <w:sz w:val="44"/>
        </w:rPr>
        <w:br/>
        <w:t xml:space="preserve">„Wynagrodzenia członków zarządów </w:t>
      </w:r>
      <w:r>
        <w:rPr>
          <w:rFonts w:asciiTheme="minorHAnsi" w:hAnsiTheme="minorHAnsi"/>
          <w:b/>
          <w:color w:val="002060"/>
          <w:sz w:val="44"/>
        </w:rPr>
        <w:br/>
      </w:r>
      <w:r w:rsidRPr="007E4E36">
        <w:rPr>
          <w:rFonts w:asciiTheme="minorHAnsi" w:hAnsiTheme="minorHAnsi"/>
          <w:b/>
          <w:color w:val="002060"/>
          <w:sz w:val="44"/>
        </w:rPr>
        <w:t>spółek IT w 2015 roku”</w:t>
      </w:r>
    </w:p>
    <w:p w:rsidR="007E4E36" w:rsidRPr="007E4E36" w:rsidRDefault="007E4E36" w:rsidP="007E4E36">
      <w:pPr>
        <w:rPr>
          <w:rFonts w:asciiTheme="minorHAnsi" w:hAnsiTheme="minorHAnsi"/>
        </w:rPr>
      </w:pPr>
    </w:p>
    <w:p w:rsidR="007E4E36" w:rsidRPr="007E4E36" w:rsidRDefault="007E4E36" w:rsidP="007E4E36">
      <w:pPr>
        <w:rPr>
          <w:rFonts w:asciiTheme="minorHAnsi" w:hAnsiTheme="minorHAnsi"/>
        </w:rPr>
      </w:pPr>
    </w:p>
    <w:p w:rsidR="007E4E36" w:rsidRDefault="007E4E36" w:rsidP="007E4E36">
      <w:pPr>
        <w:spacing w:line="276" w:lineRule="auto"/>
        <w:jc w:val="both"/>
        <w:rPr>
          <w:rFonts w:asciiTheme="minorHAnsi" w:hAnsiTheme="minorHAnsi"/>
        </w:rPr>
      </w:pPr>
      <w:r w:rsidRPr="007E4E36">
        <w:rPr>
          <w:rFonts w:asciiTheme="minorHAnsi" w:hAnsiTheme="minorHAnsi"/>
        </w:rPr>
        <w:t>Od kilku lat obserwujemy dynamiczny wzrost wynagrodzeń informatyków oraz osób pracujących w branży IT. Wiele osób zapewne zastanawia się ile zarabiają osoby, które stoją na czele spółek informatycznych. W niniejszym artykule analizie zostały poddane wynagrodzenia menedżerów zarządzających spółkami IT notowanymi na GPW w 2015 roku.</w:t>
      </w:r>
    </w:p>
    <w:p w:rsidR="005A5DE4" w:rsidRPr="007E4E36" w:rsidRDefault="005A5DE4" w:rsidP="007E4E36">
      <w:pPr>
        <w:spacing w:line="276" w:lineRule="auto"/>
        <w:jc w:val="both"/>
        <w:rPr>
          <w:rFonts w:asciiTheme="minorHAnsi" w:hAnsiTheme="minorHAnsi"/>
        </w:rPr>
      </w:pPr>
    </w:p>
    <w:p w:rsidR="007E4E36" w:rsidRPr="005A5DE4" w:rsidRDefault="007E4E36" w:rsidP="007E4E36">
      <w:pPr>
        <w:pStyle w:val="Tekstpodstawowy"/>
        <w:rPr>
          <w:rFonts w:asciiTheme="minorHAnsi" w:hAnsiTheme="minorHAnsi"/>
          <w:b w:val="0"/>
        </w:rPr>
      </w:pPr>
      <w:r w:rsidRPr="005A5DE4">
        <w:rPr>
          <w:rFonts w:asciiTheme="minorHAnsi" w:hAnsiTheme="minorHAnsi"/>
          <w:b w:val="0"/>
        </w:rPr>
        <w:t xml:space="preserve">W 2015 mediana rocznych wynagrodzeń członków zarządów wynosiła 487,3 tys. PLN. W stosunku do roku 2014 wynagrodzenia top menedżerów wzrosły o 4,5%. </w:t>
      </w:r>
    </w:p>
    <w:p w:rsidR="007E4E36" w:rsidRDefault="007E4E36" w:rsidP="007E4E36">
      <w:pPr>
        <w:pStyle w:val="Tekstpodstawowy"/>
        <w:rPr>
          <w:rFonts w:asciiTheme="minorHAnsi" w:hAnsiTheme="minorHAnsi"/>
          <w:b w:val="0"/>
        </w:rPr>
      </w:pPr>
    </w:p>
    <w:p w:rsidR="005A5DE4" w:rsidRPr="005A5DE4" w:rsidRDefault="005A5DE4" w:rsidP="005A5DE4">
      <w:pPr>
        <w:pStyle w:val="Tekstpodstawowy"/>
        <w:jc w:val="center"/>
        <w:rPr>
          <w:rFonts w:asciiTheme="minorHAnsi" w:hAnsiTheme="minorHAnsi"/>
          <w:color w:val="1F497D" w:themeColor="text2"/>
        </w:rPr>
      </w:pPr>
      <w:r w:rsidRPr="005A5DE4">
        <w:rPr>
          <w:rFonts w:asciiTheme="minorHAnsi" w:hAnsiTheme="minorHAnsi"/>
          <w:color w:val="1F497D" w:themeColor="text2"/>
        </w:rPr>
        <w:t>Schemat 1. Zarobki menedżerów spółek IT w 2015 roku</w:t>
      </w:r>
    </w:p>
    <w:p w:rsidR="007E4E36" w:rsidRPr="007E4E36" w:rsidRDefault="007E4E36" w:rsidP="007E4E36">
      <w:pPr>
        <w:jc w:val="center"/>
        <w:rPr>
          <w:rFonts w:asciiTheme="minorHAnsi" w:hAnsiTheme="minorHAnsi"/>
          <w:i/>
          <w:sz w:val="18"/>
          <w:szCs w:val="20"/>
        </w:rPr>
      </w:pPr>
      <w:r w:rsidRPr="007E4E36">
        <w:rPr>
          <w:rFonts w:asciiTheme="minorHAnsi" w:hAnsiTheme="minorHAnsi"/>
          <w:noProof/>
          <w:lang w:eastAsia="pl-PL"/>
        </w:rPr>
        <w:drawing>
          <wp:inline distT="0" distB="0" distL="0" distR="0" wp14:anchorId="26ACFAF1" wp14:editId="5523BC34">
            <wp:extent cx="5699760" cy="2077720"/>
            <wp:effectExtent l="19050" t="19050" r="0" b="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DB31AA" w:rsidRPr="007E4E36" w:rsidRDefault="00DB31AA" w:rsidP="00DB31AA">
      <w:pPr>
        <w:jc w:val="center"/>
        <w:rPr>
          <w:rFonts w:asciiTheme="minorHAnsi" w:hAnsiTheme="minorHAnsi"/>
          <w:i/>
          <w:sz w:val="18"/>
          <w:szCs w:val="20"/>
        </w:rPr>
      </w:pPr>
      <w:r w:rsidRPr="007E4E36">
        <w:rPr>
          <w:rFonts w:asciiTheme="minorHAnsi" w:hAnsiTheme="minorHAnsi"/>
          <w:i/>
          <w:sz w:val="18"/>
          <w:szCs w:val="20"/>
        </w:rPr>
        <w:t xml:space="preserve">Źródło: Raport „Wynagrodzenia członków zarządów spółek IT w 2015 roku”, Sedlak </w:t>
      </w:r>
      <w:r w:rsidRPr="007E4E36">
        <w:rPr>
          <w:rFonts w:asciiTheme="minorHAnsi" w:hAnsiTheme="minorHAnsi"/>
          <w:i/>
          <w:sz w:val="14"/>
          <w:szCs w:val="20"/>
        </w:rPr>
        <w:t>&amp;</w:t>
      </w:r>
      <w:r w:rsidRPr="007E4E36">
        <w:rPr>
          <w:rFonts w:asciiTheme="minorHAnsi" w:hAnsiTheme="minorHAnsi"/>
          <w:i/>
          <w:sz w:val="18"/>
          <w:szCs w:val="20"/>
        </w:rPr>
        <w:t xml:space="preserve"> Sedlak</w:t>
      </w:r>
    </w:p>
    <w:p w:rsidR="007E4E36" w:rsidRPr="007E4E36" w:rsidRDefault="007E4E36" w:rsidP="007E4E36">
      <w:pPr>
        <w:pStyle w:val="Tekstpodstawowy"/>
        <w:rPr>
          <w:rFonts w:asciiTheme="minorHAnsi" w:hAnsiTheme="minorHAnsi"/>
        </w:rPr>
      </w:pPr>
    </w:p>
    <w:p w:rsidR="007E4E36" w:rsidRPr="007E4E36" w:rsidRDefault="007E4E36" w:rsidP="007E4E36">
      <w:pPr>
        <w:pStyle w:val="Tekstpodstawowy"/>
        <w:rPr>
          <w:rFonts w:asciiTheme="minorHAnsi" w:hAnsiTheme="minorHAnsi"/>
        </w:rPr>
      </w:pPr>
    </w:p>
    <w:p w:rsidR="007E4E36" w:rsidRPr="007E4E36" w:rsidRDefault="007E4E36" w:rsidP="007E4E36">
      <w:pPr>
        <w:spacing w:line="276" w:lineRule="auto"/>
        <w:jc w:val="both"/>
        <w:rPr>
          <w:rFonts w:asciiTheme="minorHAnsi" w:hAnsiTheme="minorHAnsi"/>
          <w:color w:val="000000"/>
          <w:lang w:eastAsia="pl-PL"/>
        </w:rPr>
      </w:pPr>
      <w:r w:rsidRPr="007E4E36">
        <w:rPr>
          <w:rFonts w:asciiTheme="minorHAnsi" w:hAnsiTheme="minorHAnsi"/>
        </w:rPr>
        <w:t xml:space="preserve">Na wykresie </w:t>
      </w:r>
      <w:r w:rsidR="005A5DE4">
        <w:rPr>
          <w:rFonts w:asciiTheme="minorHAnsi" w:hAnsiTheme="minorHAnsi"/>
        </w:rPr>
        <w:t>1</w:t>
      </w:r>
      <w:r w:rsidRPr="007E4E36">
        <w:rPr>
          <w:rFonts w:asciiTheme="minorHAnsi" w:hAnsiTheme="minorHAnsi"/>
        </w:rPr>
        <w:t xml:space="preserve">. zaprezentowano rozkład rocznych wynagrodzeń menedżerów spółek IT notowanych na GPW. W analizach uwzględniono 86 osób, które przepracowały cały rok. W 2015 roku 43 menedżerów (50% badanych) otrzymało wynagrodzenie poniżej </w:t>
      </w:r>
      <w:r w:rsidRPr="007E4E36">
        <w:rPr>
          <w:rFonts w:asciiTheme="minorHAnsi" w:hAnsiTheme="minorHAnsi"/>
        </w:rPr>
        <w:lastRenderedPageBreak/>
        <w:t xml:space="preserve">500 tys. PLN, 20 osób zarobiło od 500 tys. PLN do 1 mln PLN. Pensje w przedziale od 1 mln PLN do 2 mln PLN otrzymało 20 menedżerów, czyli 23 % badanych. Natomiast 3 najlepiej zarabiające osoby otrzymały wynagrodzenie w wysokości ponad 2 mln PLN lub więcej. Najlepiej wynagradzanym menedżerem w 2015 roku był Janusz Filipiak, prezes </w:t>
      </w:r>
      <w:proofErr w:type="spellStart"/>
      <w:r w:rsidRPr="007E4E36">
        <w:rPr>
          <w:rFonts w:asciiTheme="minorHAnsi" w:hAnsiTheme="minorHAnsi"/>
        </w:rPr>
        <w:t>Comarch</w:t>
      </w:r>
      <w:proofErr w:type="spellEnd"/>
      <w:r w:rsidRPr="007E4E36">
        <w:rPr>
          <w:rFonts w:asciiTheme="minorHAnsi" w:hAnsiTheme="minorHAnsi"/>
        </w:rPr>
        <w:t xml:space="preserve"> SA. Jego roczna pensja wyniosła 15,4 mln PLN i była o 89,7% wyższa niż w roku ubiegłym. </w:t>
      </w:r>
      <w:r w:rsidRPr="007E4E36">
        <w:rPr>
          <w:rFonts w:asciiTheme="minorHAnsi" w:hAnsiTheme="minorHAnsi"/>
          <w:color w:val="000000"/>
          <w:lang w:eastAsia="pl-PL"/>
        </w:rPr>
        <w:t>Warto podkreślić, że jest to najwyższa płaca wśród</w:t>
      </w:r>
      <w:r w:rsidRPr="007E4E36">
        <w:rPr>
          <w:rFonts w:asciiTheme="minorHAnsi" w:hAnsiTheme="minorHAnsi"/>
          <w:lang w:eastAsia="pl-PL"/>
        </w:rPr>
        <w:t xml:space="preserve"> wszystkich </w:t>
      </w:r>
      <w:bookmarkStart w:id="0" w:name="_GoBack"/>
      <w:bookmarkEnd w:id="0"/>
      <w:r w:rsidRPr="007E4E36">
        <w:rPr>
          <w:rFonts w:asciiTheme="minorHAnsi" w:hAnsiTheme="minorHAnsi"/>
          <w:lang w:eastAsia="pl-PL"/>
        </w:rPr>
        <w:t>m</w:t>
      </w:r>
      <w:r w:rsidRPr="007E4E36">
        <w:rPr>
          <w:rFonts w:asciiTheme="minorHAnsi" w:hAnsiTheme="minorHAnsi"/>
          <w:color w:val="000000"/>
          <w:lang w:eastAsia="pl-PL"/>
        </w:rPr>
        <w:t xml:space="preserve">enedżerów spółek notowanych na GPW. </w:t>
      </w:r>
    </w:p>
    <w:p w:rsidR="007E4E36" w:rsidRPr="007E4E36" w:rsidRDefault="007E4E36" w:rsidP="007E4E36">
      <w:pPr>
        <w:spacing w:line="276" w:lineRule="auto"/>
        <w:rPr>
          <w:rFonts w:asciiTheme="minorHAnsi" w:hAnsiTheme="minorHAnsi"/>
        </w:rPr>
      </w:pPr>
    </w:p>
    <w:p w:rsidR="007E4E36" w:rsidRPr="007E4E36" w:rsidRDefault="007E4E36" w:rsidP="007E4E36">
      <w:pPr>
        <w:pStyle w:val="Tekstpodstawowy"/>
        <w:jc w:val="center"/>
        <w:rPr>
          <w:rFonts w:asciiTheme="minorHAnsi" w:hAnsiTheme="minorHAnsi"/>
          <w:b w:val="0"/>
          <w:color w:val="002060"/>
        </w:rPr>
      </w:pPr>
      <w:r w:rsidRPr="007E4E36">
        <w:rPr>
          <w:rFonts w:asciiTheme="minorHAnsi" w:hAnsiTheme="minorHAnsi"/>
          <w:color w:val="002060"/>
        </w:rPr>
        <w:t>Wykres 1. Rozkład rocznych wynagrodzeń menedżerów spółek IT w 2015 roku</w:t>
      </w:r>
    </w:p>
    <w:p w:rsidR="007E4E36" w:rsidRPr="007E4E36" w:rsidRDefault="007E4E36" w:rsidP="007E4E36">
      <w:pPr>
        <w:pStyle w:val="Tekstpodstawowy"/>
        <w:jc w:val="center"/>
        <w:rPr>
          <w:rFonts w:asciiTheme="minorHAnsi" w:hAnsiTheme="minorHAnsi"/>
        </w:rPr>
      </w:pPr>
      <w:r w:rsidRPr="007E4E36">
        <w:rPr>
          <w:rFonts w:asciiTheme="minorHAnsi" w:hAnsiTheme="minorHAnsi"/>
          <w:noProof/>
          <w:lang w:eastAsia="pl-PL"/>
        </w:rPr>
        <w:drawing>
          <wp:inline distT="0" distB="0" distL="0" distR="0" wp14:anchorId="56F7E9C3" wp14:editId="7FCFB3A1">
            <wp:extent cx="5074276" cy="2671445"/>
            <wp:effectExtent l="0" t="0" r="0" b="0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E4E36" w:rsidRPr="007E4E36" w:rsidRDefault="007E4E36" w:rsidP="007E4E36">
      <w:pPr>
        <w:jc w:val="center"/>
        <w:rPr>
          <w:rFonts w:asciiTheme="minorHAnsi" w:hAnsiTheme="minorHAnsi"/>
          <w:i/>
          <w:sz w:val="18"/>
          <w:szCs w:val="20"/>
        </w:rPr>
      </w:pPr>
      <w:r w:rsidRPr="007E4E36">
        <w:rPr>
          <w:rFonts w:asciiTheme="minorHAnsi" w:hAnsiTheme="minorHAnsi"/>
          <w:i/>
          <w:sz w:val="18"/>
          <w:szCs w:val="20"/>
        </w:rPr>
        <w:t xml:space="preserve">Źródło: Raport „Wynagrodzenia członków zarządów spółek IT w 2015 roku”, Sedlak </w:t>
      </w:r>
      <w:r w:rsidRPr="007E4E36">
        <w:rPr>
          <w:rFonts w:asciiTheme="minorHAnsi" w:hAnsiTheme="minorHAnsi"/>
          <w:i/>
          <w:sz w:val="14"/>
          <w:szCs w:val="20"/>
        </w:rPr>
        <w:t>&amp;</w:t>
      </w:r>
      <w:r w:rsidRPr="007E4E36">
        <w:rPr>
          <w:rFonts w:asciiTheme="minorHAnsi" w:hAnsiTheme="minorHAnsi"/>
          <w:i/>
          <w:sz w:val="18"/>
          <w:szCs w:val="20"/>
        </w:rPr>
        <w:t xml:space="preserve"> Sedlak</w:t>
      </w:r>
    </w:p>
    <w:p w:rsidR="007E4E36" w:rsidRPr="007E4E36" w:rsidRDefault="007E4E36" w:rsidP="007E4E36">
      <w:pPr>
        <w:pStyle w:val="Tekstpodstawowy"/>
        <w:rPr>
          <w:rFonts w:asciiTheme="minorHAnsi" w:hAnsiTheme="minorHAnsi"/>
        </w:rPr>
      </w:pPr>
    </w:p>
    <w:p w:rsidR="007E4E36" w:rsidRPr="007E4E36" w:rsidRDefault="007E4E36" w:rsidP="007E4E36">
      <w:pPr>
        <w:pStyle w:val="Tekstpodstawowy"/>
        <w:rPr>
          <w:rFonts w:asciiTheme="minorHAnsi" w:hAnsiTheme="minorHAnsi"/>
        </w:rPr>
      </w:pPr>
    </w:p>
    <w:p w:rsidR="007E4E36" w:rsidRPr="007E4E36" w:rsidRDefault="007E4E36" w:rsidP="007E4E36">
      <w:pPr>
        <w:pStyle w:val="Tekstpodstawowy"/>
        <w:rPr>
          <w:rFonts w:asciiTheme="minorHAnsi" w:hAnsiTheme="minorHAnsi"/>
        </w:rPr>
      </w:pPr>
    </w:p>
    <w:p w:rsidR="007E4E36" w:rsidRPr="00175B5D" w:rsidRDefault="007E4E36" w:rsidP="007E4E36">
      <w:pPr>
        <w:pStyle w:val="Tekstpodstawowy"/>
        <w:rPr>
          <w:rFonts w:asciiTheme="minorHAnsi" w:hAnsiTheme="minorHAnsi"/>
          <w:b w:val="0"/>
        </w:rPr>
      </w:pPr>
      <w:r w:rsidRPr="00175B5D">
        <w:rPr>
          <w:rFonts w:asciiTheme="minorHAnsi" w:hAnsiTheme="minorHAnsi"/>
          <w:b w:val="0"/>
        </w:rPr>
        <w:t>Na wykresie 2. przedstawiono zmiany w poziomie wynagrodzeń menedżerów spółek IT notowanych na GPW w latach 2006 – 2015. Co ciekawe, w roku 2015 zarobki kadry zarządzającej były najwyższe w analizowanym okresie. Warto zwrócić uwagę, że były one na porównywalnym poziomie jak w roku 2006, kiedy mediana wyniosła 479,5 tys. PLN. Najniższą medianę wynagrodzeń odnotowano w 2010 roku - 360 tys. PLN, w porównaniu do roku 2006 była niższa o 25%.</w:t>
      </w:r>
    </w:p>
    <w:p w:rsidR="00175B5D" w:rsidRDefault="00175B5D">
      <w:pPr>
        <w:rPr>
          <w:rFonts w:asciiTheme="minorHAnsi" w:hAnsiTheme="minorHAnsi"/>
          <w:b/>
          <w:bCs/>
          <w:szCs w:val="20"/>
        </w:rPr>
      </w:pPr>
      <w:r>
        <w:rPr>
          <w:rFonts w:asciiTheme="minorHAnsi" w:hAnsiTheme="minorHAnsi"/>
        </w:rPr>
        <w:br w:type="page"/>
      </w:r>
    </w:p>
    <w:p w:rsidR="007E4E36" w:rsidRPr="007E4E36" w:rsidRDefault="007E4E36" w:rsidP="007E4E36">
      <w:pPr>
        <w:jc w:val="center"/>
        <w:rPr>
          <w:rFonts w:asciiTheme="minorHAnsi" w:hAnsiTheme="minorHAnsi"/>
          <w:i/>
          <w:sz w:val="18"/>
          <w:szCs w:val="20"/>
        </w:rPr>
      </w:pPr>
      <w:r w:rsidRPr="007E4E36">
        <w:rPr>
          <w:rFonts w:asciiTheme="minorHAnsi" w:hAnsiTheme="minorHAnsi"/>
          <w:b/>
          <w:color w:val="002060"/>
        </w:rPr>
        <w:lastRenderedPageBreak/>
        <w:t xml:space="preserve">Wykres 2. Mediana rocznych wynagrodzeń </w:t>
      </w:r>
      <w:r w:rsidR="00F34C05">
        <w:rPr>
          <w:rFonts w:asciiTheme="minorHAnsi" w:hAnsiTheme="minorHAnsi"/>
          <w:b/>
          <w:color w:val="002060"/>
        </w:rPr>
        <w:br/>
      </w:r>
      <w:r w:rsidRPr="007E4E36">
        <w:rPr>
          <w:rFonts w:asciiTheme="minorHAnsi" w:hAnsiTheme="minorHAnsi"/>
          <w:b/>
          <w:color w:val="002060"/>
        </w:rPr>
        <w:t>menedżerów spółek IT w latach 2006-2015</w:t>
      </w:r>
    </w:p>
    <w:p w:rsidR="007E4E36" w:rsidRPr="007E4E36" w:rsidRDefault="007E4E36" w:rsidP="007E4E36">
      <w:pPr>
        <w:jc w:val="center"/>
        <w:rPr>
          <w:rFonts w:asciiTheme="minorHAnsi" w:hAnsiTheme="minorHAnsi"/>
          <w:i/>
          <w:sz w:val="18"/>
          <w:szCs w:val="20"/>
        </w:rPr>
      </w:pPr>
      <w:r w:rsidRPr="007E4E36">
        <w:rPr>
          <w:rFonts w:asciiTheme="minorHAnsi" w:hAnsiTheme="minorHAnsi"/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5E2B26DD" wp14:editId="387EE465">
            <wp:simplePos x="0" y="0"/>
            <wp:positionH relativeFrom="margin">
              <wp:align>right</wp:align>
            </wp:positionH>
            <wp:positionV relativeFrom="paragraph">
              <wp:posOffset>153670</wp:posOffset>
            </wp:positionV>
            <wp:extent cx="5215890" cy="2080895"/>
            <wp:effectExtent l="0" t="0" r="3810" b="0"/>
            <wp:wrapTight wrapText="bothSides">
              <wp:wrapPolygon edited="0">
                <wp:start x="0" y="0"/>
                <wp:lineTo x="0" y="21356"/>
                <wp:lineTo x="21537" y="21356"/>
                <wp:lineTo x="21537" y="0"/>
                <wp:lineTo x="0" y="0"/>
              </wp:wrapPolygon>
            </wp:wrapTight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E4E36">
        <w:rPr>
          <w:rFonts w:asciiTheme="minorHAnsi" w:hAnsiTheme="minorHAnsi"/>
          <w:i/>
          <w:sz w:val="18"/>
          <w:szCs w:val="20"/>
        </w:rPr>
        <w:br/>
        <w:t xml:space="preserve">Źródło: Raporty „Wynagrodzenia członków zarządów spółek notowanych na GPW w 2006 - 2015 roku”, Sedlak </w:t>
      </w:r>
      <w:r w:rsidRPr="007E4E36">
        <w:rPr>
          <w:rFonts w:asciiTheme="minorHAnsi" w:hAnsiTheme="minorHAnsi"/>
          <w:i/>
          <w:sz w:val="14"/>
          <w:szCs w:val="20"/>
        </w:rPr>
        <w:t>&amp;</w:t>
      </w:r>
      <w:r w:rsidRPr="007E4E36">
        <w:rPr>
          <w:rFonts w:asciiTheme="minorHAnsi" w:hAnsiTheme="minorHAnsi"/>
          <w:i/>
          <w:sz w:val="18"/>
          <w:szCs w:val="20"/>
        </w:rPr>
        <w:t xml:space="preserve"> Sedlak</w:t>
      </w:r>
    </w:p>
    <w:p w:rsidR="007E4E36" w:rsidRDefault="007E4E36" w:rsidP="007E4E36">
      <w:pPr>
        <w:pStyle w:val="Tekstpodstawowy"/>
        <w:rPr>
          <w:rFonts w:asciiTheme="minorHAnsi" w:hAnsiTheme="minorHAnsi"/>
        </w:rPr>
      </w:pPr>
    </w:p>
    <w:p w:rsidR="00175B5D" w:rsidRPr="007E4E36" w:rsidRDefault="00175B5D" w:rsidP="007E4E36">
      <w:pPr>
        <w:pStyle w:val="Tekstpodstawowy"/>
        <w:rPr>
          <w:rFonts w:asciiTheme="minorHAnsi" w:hAnsiTheme="minorHAnsi"/>
        </w:rPr>
      </w:pPr>
    </w:p>
    <w:p w:rsidR="007E4E36" w:rsidRPr="00175B5D" w:rsidRDefault="007E4E36" w:rsidP="007E4E36">
      <w:pPr>
        <w:pStyle w:val="Tekstpodstawowy"/>
        <w:rPr>
          <w:rFonts w:asciiTheme="minorHAnsi" w:hAnsiTheme="minorHAnsi"/>
          <w:b w:val="0"/>
        </w:rPr>
      </w:pPr>
      <w:r w:rsidRPr="00175B5D">
        <w:rPr>
          <w:rFonts w:asciiTheme="minorHAnsi" w:hAnsiTheme="minorHAnsi"/>
          <w:b w:val="0"/>
        </w:rPr>
        <w:t>Jednym z czynników, który różnicował stawki wynagrodzeń top menedżerów była wielkość organizacji mierzona wartością rynkową spółki. W najmniejszych spółkach o wartości rynkowej poniżej 50 mln PLN pensje menedżerów były najniższe i wyniosły 236,1 tys. PLN. Czterokrotnie wyższe pensje, o wysokości ponad 1 mln PLN otrzymały osoby zarządzające spółkami, których kapitalizacja rynkowa wyniosła 100 mln PLN i więcej. Natomiast menedżerowie średnich spółek o wartości rynkowej 50 – 99,9 mln PLN zarobili 387,5 tys. PLN. Ich pensje były o 64% wyższe niż menedżerów z najmniejszych spółek.</w:t>
      </w:r>
    </w:p>
    <w:p w:rsidR="007E4E36" w:rsidRPr="007E4E36" w:rsidRDefault="007E4E36" w:rsidP="007E4E36">
      <w:pPr>
        <w:jc w:val="center"/>
        <w:rPr>
          <w:rFonts w:asciiTheme="minorHAnsi" w:hAnsiTheme="minorHAnsi"/>
          <w:b/>
          <w:color w:val="002060"/>
        </w:rPr>
      </w:pPr>
    </w:p>
    <w:p w:rsidR="007E4E36" w:rsidRPr="007E4E36" w:rsidRDefault="007E4E36" w:rsidP="007E4E36">
      <w:pPr>
        <w:jc w:val="center"/>
        <w:rPr>
          <w:rFonts w:asciiTheme="minorHAnsi" w:hAnsiTheme="minorHAnsi"/>
        </w:rPr>
      </w:pPr>
      <w:r w:rsidRPr="007E4E36">
        <w:rPr>
          <w:rFonts w:asciiTheme="minorHAnsi" w:hAnsiTheme="minorHAnsi"/>
          <w:b/>
          <w:color w:val="002060"/>
        </w:rPr>
        <w:t xml:space="preserve">Wykres 3. Mediana rocznych wynagrodzeń menedżerów spółek IT w spółkach </w:t>
      </w:r>
      <w:r w:rsidRPr="007E4E36">
        <w:rPr>
          <w:rFonts w:asciiTheme="minorHAnsi" w:hAnsiTheme="minorHAnsi"/>
          <w:b/>
          <w:color w:val="002060"/>
        </w:rPr>
        <w:br/>
        <w:t>o różnej kapitalizacji rynkowej w 2015 roku</w:t>
      </w:r>
    </w:p>
    <w:p w:rsidR="007E4E36" w:rsidRPr="007E4E36" w:rsidRDefault="007E4E36" w:rsidP="007E4E36">
      <w:pPr>
        <w:jc w:val="both"/>
        <w:rPr>
          <w:rFonts w:asciiTheme="minorHAnsi" w:hAnsiTheme="minorHAnsi"/>
        </w:rPr>
      </w:pPr>
      <w:r w:rsidRPr="007E4E36">
        <w:rPr>
          <w:rFonts w:asciiTheme="minorHAnsi" w:hAnsiTheme="minorHAnsi"/>
          <w:noProof/>
          <w:lang w:eastAsia="pl-PL"/>
        </w:rPr>
        <w:drawing>
          <wp:inline distT="0" distB="0" distL="0" distR="0" wp14:anchorId="770CD70C" wp14:editId="42A2D7D4">
            <wp:extent cx="5534025" cy="2410460"/>
            <wp:effectExtent l="0" t="0" r="0" b="8890"/>
            <wp:docPr id="10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E4E36" w:rsidRPr="007E4E36" w:rsidRDefault="007E4E36" w:rsidP="007E4E36">
      <w:pPr>
        <w:jc w:val="center"/>
        <w:rPr>
          <w:rFonts w:asciiTheme="minorHAnsi" w:hAnsiTheme="minorHAnsi"/>
          <w:i/>
          <w:sz w:val="18"/>
          <w:szCs w:val="20"/>
        </w:rPr>
      </w:pPr>
      <w:r w:rsidRPr="007E4E36">
        <w:rPr>
          <w:rFonts w:asciiTheme="minorHAnsi" w:hAnsiTheme="minorHAnsi"/>
          <w:i/>
          <w:sz w:val="18"/>
          <w:szCs w:val="20"/>
        </w:rPr>
        <w:t xml:space="preserve">Źródło: Raport „Wynagrodzenia członków zarządów spółek IT w 2015 roku”, Sedlak </w:t>
      </w:r>
      <w:r w:rsidRPr="007E4E36">
        <w:rPr>
          <w:rFonts w:asciiTheme="minorHAnsi" w:hAnsiTheme="minorHAnsi"/>
          <w:i/>
          <w:sz w:val="14"/>
          <w:szCs w:val="20"/>
        </w:rPr>
        <w:t>&amp;</w:t>
      </w:r>
      <w:r w:rsidRPr="007E4E36">
        <w:rPr>
          <w:rFonts w:asciiTheme="minorHAnsi" w:hAnsiTheme="minorHAnsi"/>
          <w:i/>
          <w:sz w:val="18"/>
          <w:szCs w:val="20"/>
        </w:rPr>
        <w:t xml:space="preserve"> Sedlak</w:t>
      </w:r>
    </w:p>
    <w:p w:rsidR="007E4E36" w:rsidRPr="007E4E36" w:rsidRDefault="007E4E36" w:rsidP="007E4E36">
      <w:pPr>
        <w:rPr>
          <w:rFonts w:asciiTheme="minorHAnsi" w:hAnsiTheme="minorHAnsi"/>
        </w:rPr>
      </w:pPr>
    </w:p>
    <w:p w:rsidR="007E4E36" w:rsidRPr="007E4E36" w:rsidRDefault="007E4E36" w:rsidP="007E4E36">
      <w:pPr>
        <w:rPr>
          <w:rFonts w:asciiTheme="minorHAnsi" w:hAnsiTheme="minorHAnsi"/>
          <w:b/>
          <w:color w:val="002060"/>
          <w:sz w:val="28"/>
        </w:rPr>
      </w:pPr>
      <w:r w:rsidRPr="007E4E36">
        <w:rPr>
          <w:rFonts w:asciiTheme="minorHAnsi" w:hAnsiTheme="minorHAnsi"/>
          <w:b/>
          <w:color w:val="002060"/>
          <w:sz w:val="28"/>
        </w:rPr>
        <w:lastRenderedPageBreak/>
        <w:t>O raporcie</w:t>
      </w:r>
    </w:p>
    <w:p w:rsidR="007E4E36" w:rsidRPr="007E4E36" w:rsidRDefault="007E4E36" w:rsidP="007E4E36">
      <w:pPr>
        <w:rPr>
          <w:rFonts w:asciiTheme="minorHAnsi" w:hAnsiTheme="minorHAnsi"/>
          <w:lang w:eastAsia="pl-PL"/>
        </w:rPr>
      </w:pPr>
      <w:r w:rsidRPr="007E4E36">
        <w:rPr>
          <w:rFonts w:asciiTheme="minorHAnsi" w:hAnsiTheme="minorHAnsi"/>
        </w:rPr>
        <w:t xml:space="preserve">W </w:t>
      </w:r>
      <w:r w:rsidRPr="007E4E36">
        <w:rPr>
          <w:rFonts w:asciiTheme="minorHAnsi" w:hAnsiTheme="minorHAnsi"/>
          <w:lang w:eastAsia="pl-PL"/>
        </w:rPr>
        <w:t>tegorocznej edycji przeanalizowaliśmy dane na temat wynagrodzeń 119 menedżerów (w tym 86 osób, które przepracowały cały 2015 rok) z 26 spółek IT notowanych na Giełdzie Papierów Wartościowych w Warszawie.</w:t>
      </w:r>
    </w:p>
    <w:p w:rsidR="007E4E36" w:rsidRPr="007E4E36" w:rsidRDefault="007E4E36" w:rsidP="007E4E36">
      <w:pPr>
        <w:rPr>
          <w:rFonts w:asciiTheme="minorHAnsi" w:hAnsiTheme="minorHAnsi"/>
          <w:lang w:eastAsia="pl-PL"/>
        </w:rPr>
      </w:pPr>
      <w:r w:rsidRPr="007E4E36">
        <w:rPr>
          <w:rFonts w:asciiTheme="minorHAnsi" w:hAnsiTheme="minorHAnsi"/>
          <w:lang w:eastAsia="pl-PL"/>
        </w:rPr>
        <w:t>W raporcie zaprezentowano analizy wynagrodzeń top menedżerów w spółkach o różnej wielkości przychodów, zysków, aktywów, kapitałów własnych, kapitalizacji rynkowej czy zatrudnienia. Ponadto raport zawiera ranking wynagrodzeń wszystkich menedżerów spółek IT, ranking średnich wynagrodzeń w spółkach oraz ranking funduszy wynagrodzeń.</w:t>
      </w:r>
    </w:p>
    <w:p w:rsidR="007E4E36" w:rsidRPr="007E4E36" w:rsidRDefault="007E4E36" w:rsidP="007E4E36">
      <w:pPr>
        <w:rPr>
          <w:rFonts w:asciiTheme="minorHAnsi" w:hAnsiTheme="minorHAnsi"/>
          <w:color w:val="002060"/>
          <w:lang w:eastAsia="pl-PL"/>
        </w:rPr>
      </w:pPr>
    </w:p>
    <w:p w:rsidR="007E4E36" w:rsidRPr="00F12AE0" w:rsidRDefault="007E4E36" w:rsidP="007E4E36">
      <w:pPr>
        <w:pStyle w:val="Bezodstpw"/>
        <w:rPr>
          <w:rFonts w:asciiTheme="minorHAnsi" w:hAnsiTheme="minorHAnsi"/>
          <w:color w:val="002060"/>
          <w:sz w:val="24"/>
          <w:szCs w:val="24"/>
        </w:rPr>
      </w:pPr>
      <w:r w:rsidRPr="00175B5D">
        <w:rPr>
          <w:rFonts w:asciiTheme="minorHAnsi" w:hAnsiTheme="minorHAnsi"/>
          <w:b/>
          <w:i/>
          <w:color w:val="002060"/>
          <w:sz w:val="24"/>
          <w:szCs w:val="24"/>
        </w:rPr>
        <w:t>Iwona Wabik</w:t>
      </w:r>
      <w:r w:rsidR="007576A5">
        <w:rPr>
          <w:rFonts w:asciiTheme="minorHAnsi" w:hAnsiTheme="minorHAnsi"/>
          <w:b/>
          <w:i/>
          <w:color w:val="002060"/>
          <w:sz w:val="24"/>
          <w:szCs w:val="24"/>
        </w:rPr>
        <w:t>-Szuba</w:t>
      </w:r>
    </w:p>
    <w:p w:rsidR="007E4E36" w:rsidRPr="00175B5D" w:rsidRDefault="007E4E36" w:rsidP="007E4E36">
      <w:pPr>
        <w:pStyle w:val="Bezodstpw"/>
        <w:rPr>
          <w:rFonts w:asciiTheme="minorHAnsi" w:hAnsiTheme="minorHAnsi"/>
          <w:b/>
          <w:i/>
          <w:color w:val="002060"/>
          <w:sz w:val="24"/>
          <w:szCs w:val="24"/>
        </w:rPr>
      </w:pPr>
      <w:r w:rsidRPr="00175B5D">
        <w:rPr>
          <w:rFonts w:asciiTheme="minorHAnsi" w:hAnsiTheme="minorHAnsi"/>
          <w:b/>
          <w:i/>
          <w:color w:val="002060"/>
          <w:sz w:val="24"/>
          <w:szCs w:val="24"/>
        </w:rPr>
        <w:t xml:space="preserve">Sedlak </w:t>
      </w:r>
      <w:r w:rsidRPr="00175B5D">
        <w:rPr>
          <w:rFonts w:asciiTheme="minorHAnsi" w:hAnsiTheme="minorHAnsi"/>
          <w:b/>
          <w:i/>
          <w:color w:val="002060"/>
          <w:sz w:val="20"/>
          <w:szCs w:val="24"/>
        </w:rPr>
        <w:t>&amp;</w:t>
      </w:r>
      <w:r w:rsidRPr="00175B5D">
        <w:rPr>
          <w:rFonts w:asciiTheme="minorHAnsi" w:hAnsiTheme="minorHAnsi"/>
          <w:b/>
          <w:i/>
          <w:color w:val="002060"/>
          <w:sz w:val="24"/>
          <w:szCs w:val="24"/>
        </w:rPr>
        <w:t xml:space="preserve"> Sedlak</w:t>
      </w:r>
    </w:p>
    <w:p w:rsidR="00E52BE5" w:rsidRPr="007E4E36" w:rsidRDefault="00E52BE5" w:rsidP="00E52BE5">
      <w:pPr>
        <w:spacing w:line="276" w:lineRule="auto"/>
        <w:jc w:val="both"/>
        <w:rPr>
          <w:rFonts w:asciiTheme="minorHAnsi" w:hAnsiTheme="minorHAnsi"/>
          <w:szCs w:val="22"/>
          <w:lang w:eastAsia="pl-PL"/>
        </w:rPr>
      </w:pPr>
    </w:p>
    <w:p w:rsidR="000D470B" w:rsidRPr="007E4E36" w:rsidRDefault="000D470B" w:rsidP="000D470B">
      <w:pPr>
        <w:spacing w:line="259" w:lineRule="auto"/>
        <w:jc w:val="both"/>
        <w:rPr>
          <w:rFonts w:asciiTheme="minorHAnsi" w:eastAsia="Calibri" w:hAnsiTheme="minorHAnsi"/>
          <w:color w:val="000000"/>
        </w:rPr>
      </w:pPr>
    </w:p>
    <w:p w:rsidR="0000005A" w:rsidRPr="007E4E36" w:rsidRDefault="006A1003" w:rsidP="000C01A7">
      <w:pPr>
        <w:spacing w:line="360" w:lineRule="auto"/>
        <w:rPr>
          <w:rStyle w:val="Hipercze"/>
          <w:rFonts w:asciiTheme="minorHAnsi" w:eastAsia="Calibri" w:hAnsiTheme="minorHAnsi"/>
          <w:b/>
          <w:color w:val="002060"/>
          <w:u w:val="none"/>
        </w:rPr>
      </w:pPr>
      <w:r w:rsidRPr="007E4E36">
        <w:rPr>
          <w:rFonts w:asciiTheme="minorHAnsi" w:hAnsiTheme="minorHAnsi" w:cs="Calibri"/>
          <w:color w:val="000000"/>
          <w:lang w:eastAsia="pl-PL"/>
        </w:rPr>
        <w:fldChar w:fldCharType="begin"/>
      </w:r>
      <w:r w:rsidR="000220E7" w:rsidRPr="007E4E36">
        <w:rPr>
          <w:rFonts w:asciiTheme="minorHAnsi" w:hAnsiTheme="minorHAnsi" w:cs="Calibri"/>
          <w:color w:val="000000"/>
          <w:lang w:eastAsia="pl-PL"/>
        </w:rPr>
        <w:instrText>HYPERLINK "http://wynagrodzenia.pl/t/ogolnopolskie-badanie-wynagrodzen-np"</w:instrText>
      </w:r>
      <w:r w:rsidRPr="007E4E36">
        <w:rPr>
          <w:rFonts w:asciiTheme="minorHAnsi" w:hAnsiTheme="minorHAnsi" w:cs="Calibri"/>
          <w:color w:val="000000"/>
          <w:lang w:eastAsia="pl-PL"/>
        </w:rPr>
        <w:fldChar w:fldCharType="separate"/>
      </w:r>
      <w:r w:rsidR="0000005A" w:rsidRPr="007E4E36">
        <w:rPr>
          <w:rStyle w:val="Hipercze"/>
          <w:rFonts w:asciiTheme="minorHAnsi" w:hAnsiTheme="minorHAnsi" w:cs="Calibri"/>
          <w:lang w:eastAsia="pl-PL"/>
        </w:rPr>
        <w:t>I</w:t>
      </w:r>
      <w:r w:rsidR="0000005A" w:rsidRPr="007E4E36">
        <w:rPr>
          <w:rStyle w:val="Hipercze"/>
          <w:rFonts w:asciiTheme="minorHAnsi" w:hAnsiTheme="minorHAnsi"/>
          <w:lang w:eastAsia="pl-PL"/>
        </w:rPr>
        <w:t>le powinieneś zarabiać? Weź udział w Ogólnopolskim Badaniu Wynagrodzeń i porównaj swoje zarobki z innymi.</w:t>
      </w:r>
    </w:p>
    <w:p w:rsidR="0000005A" w:rsidRPr="007E4E36" w:rsidRDefault="006A1003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  <w:r w:rsidRPr="007E4E36">
        <w:rPr>
          <w:rFonts w:asciiTheme="minorHAnsi" w:hAnsiTheme="minorHAnsi" w:cs="Calibri"/>
          <w:color w:val="000000"/>
          <w:lang w:eastAsia="pl-PL"/>
        </w:rPr>
        <w:fldChar w:fldCharType="end"/>
      </w:r>
    </w:p>
    <w:p w:rsidR="00C755CB" w:rsidRPr="007E4E36" w:rsidRDefault="002B358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 w:rsidRPr="007E4E36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5AB5E" wp14:editId="66FC1475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A83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</w:p>
    <w:p w:rsidR="008A5839" w:rsidRPr="007E4E36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7E4E36">
        <w:rPr>
          <w:rFonts w:asciiTheme="minorHAnsi" w:hAnsiTheme="minorHAnsi"/>
          <w:b w:val="0"/>
          <w:bCs w:val="0"/>
          <w:noProof/>
          <w:sz w:val="20"/>
        </w:rPr>
        <w:drawing>
          <wp:inline distT="0" distB="0" distL="0" distR="0" wp14:anchorId="6FA9A823" wp14:editId="5AA44C89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0E7" w:rsidRPr="007E4E36" w:rsidRDefault="00EA72FE" w:rsidP="000220E7">
      <w:pPr>
        <w:autoSpaceDE w:val="0"/>
        <w:autoSpaceDN w:val="0"/>
        <w:adjustRightInd w:val="0"/>
        <w:spacing w:before="240"/>
        <w:rPr>
          <w:rFonts w:asciiTheme="minorHAnsi" w:eastAsia="Calibri" w:hAnsiTheme="minorHAnsi" w:cs="Helv"/>
          <w:b/>
          <w:bCs/>
          <w:color w:val="000000"/>
          <w:sz w:val="20"/>
          <w:szCs w:val="20"/>
          <w:lang w:eastAsia="pl-PL"/>
        </w:rPr>
      </w:pPr>
      <w:r w:rsidRPr="007E4E36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7E4E36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7E4E36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7E4E36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7E4E36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7E4E36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81459" w:rsidRPr="007E4E36">
        <w:rPr>
          <w:rFonts w:asciiTheme="minorHAnsi" w:eastAsia="Calibri" w:hAnsiTheme="minorHAnsi" w:cs="Calibri"/>
          <w:b/>
          <w:sz w:val="22"/>
          <w:lang w:eastAsia="pl-PL"/>
        </w:rPr>
        <w:t>lskiego Badania Wynagrodzeń 201</w:t>
      </w:r>
      <w:r w:rsidR="000220E7" w:rsidRPr="007E4E36">
        <w:rPr>
          <w:rFonts w:asciiTheme="minorHAnsi" w:eastAsia="Calibri" w:hAnsiTheme="minorHAnsi" w:cs="Calibri"/>
          <w:b/>
          <w:sz w:val="22"/>
          <w:lang w:eastAsia="pl-PL"/>
        </w:rPr>
        <w:t>5</w:t>
      </w:r>
      <w:r w:rsidR="00070AED" w:rsidRPr="007E4E36">
        <w:rPr>
          <w:rFonts w:asciiTheme="minorHAnsi" w:eastAsia="Calibri" w:hAnsiTheme="minorHAnsi" w:cs="Calibri"/>
          <w:b/>
          <w:sz w:val="22"/>
          <w:lang w:eastAsia="pl-PL"/>
        </w:rPr>
        <w:t xml:space="preserve"> </w:t>
      </w:r>
      <w:r w:rsidRPr="007E4E36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20" w:history="1">
        <w:r w:rsidR="000220E7" w:rsidRPr="007E4E36">
          <w:rPr>
            <w:rStyle w:val="Hipercze"/>
            <w:rFonts w:asciiTheme="minorHAnsi" w:eastAsia="Calibri" w:hAnsiTheme="minorHAns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7E4E36">
          <w:rPr>
            <w:rStyle w:val="Hipercze"/>
            <w:rFonts w:asciiTheme="minorHAnsi" w:eastAsia="Calibri" w:hAnsiTheme="minorHAnsi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</w:p>
    <w:p w:rsidR="003974B4" w:rsidRPr="007E4E36" w:rsidRDefault="00EA72FE" w:rsidP="00BC137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54628D"/>
          <w:sz w:val="18"/>
        </w:rPr>
      </w:pPr>
      <w:r w:rsidRPr="007E4E36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7E4E36" w:rsidSect="00E107E8">
      <w:headerReference w:type="default" r:id="rId21"/>
      <w:footerReference w:type="default" r:id="rId22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62A" w:rsidRDefault="0007162A">
      <w:r>
        <w:separator/>
      </w:r>
    </w:p>
  </w:endnote>
  <w:endnote w:type="continuationSeparator" w:id="0">
    <w:p w:rsidR="0007162A" w:rsidRDefault="0007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2B358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5B49533" wp14:editId="6BCC922D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1333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8F8F1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62A" w:rsidRDefault="0007162A">
      <w:r>
        <w:separator/>
      </w:r>
    </w:p>
  </w:footnote>
  <w:footnote w:type="continuationSeparator" w:id="0">
    <w:p w:rsidR="0007162A" w:rsidRDefault="000716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D237895" wp14:editId="64D5CCB6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58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791B4120" wp14:editId="259E4EC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9389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8"/>
  </w:num>
  <w:num w:numId="6">
    <w:abstractNumId w:val="19"/>
  </w:num>
  <w:num w:numId="7">
    <w:abstractNumId w:val="17"/>
  </w:num>
  <w:num w:numId="8">
    <w:abstractNumId w:val="5"/>
  </w:num>
  <w:num w:numId="9">
    <w:abstractNumId w:val="0"/>
  </w:num>
  <w:num w:numId="10">
    <w:abstractNumId w:val="4"/>
  </w:num>
  <w:num w:numId="11">
    <w:abstractNumId w:val="14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/>
  <w:defaultTabStop w:val="708"/>
  <w:hyphenationZone w:val="425"/>
  <w:characterSpacingControl w:val="doNotCompress"/>
  <w:hdrShapeDefaults>
    <o:shapedefaults v:ext="edit" spidmax="159745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1D6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75B5D"/>
    <w:rsid w:val="00182578"/>
    <w:rsid w:val="00183F7E"/>
    <w:rsid w:val="001856B5"/>
    <w:rsid w:val="00185BF8"/>
    <w:rsid w:val="00193068"/>
    <w:rsid w:val="00195689"/>
    <w:rsid w:val="001A033F"/>
    <w:rsid w:val="001A16B2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18B2"/>
    <w:rsid w:val="002F52E5"/>
    <w:rsid w:val="002F5F1A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5078F7"/>
    <w:rsid w:val="005111D8"/>
    <w:rsid w:val="00514744"/>
    <w:rsid w:val="00526EBB"/>
    <w:rsid w:val="0052750E"/>
    <w:rsid w:val="005316C8"/>
    <w:rsid w:val="00537F5A"/>
    <w:rsid w:val="00545D3A"/>
    <w:rsid w:val="005463F9"/>
    <w:rsid w:val="00552191"/>
    <w:rsid w:val="0057587E"/>
    <w:rsid w:val="00582349"/>
    <w:rsid w:val="00582F2E"/>
    <w:rsid w:val="0058642C"/>
    <w:rsid w:val="00590BA0"/>
    <w:rsid w:val="00592555"/>
    <w:rsid w:val="00596EBC"/>
    <w:rsid w:val="0059743E"/>
    <w:rsid w:val="005A10D4"/>
    <w:rsid w:val="005A5DE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576A5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4E36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412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1AA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AE0"/>
    <w:rsid w:val="00F12FFD"/>
    <w:rsid w:val="00F217B6"/>
    <w:rsid w:val="00F24D28"/>
    <w:rsid w:val="00F26E6D"/>
    <w:rsid w:val="00F30CBE"/>
    <w:rsid w:val="00F34C05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B796D"/>
    <w:rsid w:val="00FC1A04"/>
    <w:rsid w:val="00FC1D1B"/>
    <w:rsid w:val="00FC3086"/>
    <w:rsid w:val="00FC39FC"/>
    <w:rsid w:val="00FC64F6"/>
    <w:rsid w:val="00FC77D0"/>
    <w:rsid w:val="00FD623A"/>
    <w:rsid w:val="00FD6D06"/>
    <w:rsid w:val="00FE04B0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632118D3-833B-4D65-8C50-D50316815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1061D6"/>
  </w:style>
  <w:style w:type="character" w:customStyle="1" w:styleId="small">
    <w:name w:val="small"/>
    <w:basedOn w:val="Domylnaczcionkaakapitu"/>
    <w:rsid w:val="00106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hyperlink" Target="http://www.wynagrodzenia.pl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chart" Target="charts/chart2.xml"/><Relationship Id="rId20" Type="http://schemas.openxmlformats.org/officeDocument/2006/relationships/hyperlink" Target="http://wynagrodzenia.pl/t/ogolnopolskie-badanie-wynagrodzen-n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1.xml"/><Relationship Id="rId23" Type="http://schemas.openxmlformats.org/officeDocument/2006/relationships/fontTable" Target="fontTable.xml"/><Relationship Id="rId10" Type="http://schemas.openxmlformats.org/officeDocument/2006/relationships/diagramData" Target="diagrams/data1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wabik@sedlak.pl" TargetMode="External"/><Relationship Id="rId14" Type="http://schemas.microsoft.com/office/2007/relationships/diagramDrawing" Target="diagrams/drawing1.xm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ssrvdc04\Krakow-Miodowa\wynagrodzenia\ARCHIWUM\RAPORT%20GIE&#321;DOWY\za%202015\E.%20Raport%20IT\artyku&#322;y\1.%20POdsumowanie%20raportu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ssrvdc04\Krakow-Miodowa\wynagrodzenia\ARCHIWUM\RAPORT%20GIE&#321;DOWY\za%202015\E.%20Raport%20IT\artyku&#322;y\1.%20POdsumowanie%20raportu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ssrvdc04\Krakow-Miodowa\wynagrodzenia\ARCHIWUM\RAPORT%20GIE&#321;DOWY\za%202015\E.%20Raport%20IT\artyku&#322;y\1.%20POdsumowanie%20raportu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73032278031941E-2"/>
          <c:y val="5.0925996979162953E-2"/>
          <c:w val="0.84878827646544186"/>
          <c:h val="0.59798374161563139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rgbClr val="60B9B1"/>
            </a:solidFill>
            <a:ln>
              <a:noFill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Arkusz2!$A$75:$A$83</c:f>
              <c:strCache>
                <c:ptCount val="9"/>
                <c:pt idx="0">
                  <c:v>poniżej 250 tys. PLN</c:v>
                </c:pt>
                <c:pt idx="1">
                  <c:v>250-499,9 tys. PLN</c:v>
                </c:pt>
                <c:pt idx="2">
                  <c:v>500-749,9 tys. PLN</c:v>
                </c:pt>
                <c:pt idx="3">
                  <c:v>750-999,9 tys. PLN</c:v>
                </c:pt>
                <c:pt idx="4">
                  <c:v>1000-1249,9 tys. PLN</c:v>
                </c:pt>
                <c:pt idx="5">
                  <c:v>1250-1499,9 tys. PLN</c:v>
                </c:pt>
                <c:pt idx="6">
                  <c:v>1500-1749,9 tys. PLN</c:v>
                </c:pt>
                <c:pt idx="7">
                  <c:v>1750-1999,9 tys. PLN</c:v>
                </c:pt>
                <c:pt idx="8">
                  <c:v>2000 tys. PLN i więcej</c:v>
                </c:pt>
              </c:strCache>
            </c:strRef>
          </c:cat>
          <c:val>
            <c:numRef>
              <c:f>Arkusz2!$B$75:$B$83</c:f>
              <c:numCache>
                <c:formatCode>0</c:formatCode>
                <c:ptCount val="9"/>
                <c:pt idx="0">
                  <c:v>15</c:v>
                </c:pt>
                <c:pt idx="1">
                  <c:v>28</c:v>
                </c:pt>
                <c:pt idx="2">
                  <c:v>14</c:v>
                </c:pt>
                <c:pt idx="3">
                  <c:v>6</c:v>
                </c:pt>
                <c:pt idx="4">
                  <c:v>9</c:v>
                </c:pt>
                <c:pt idx="5">
                  <c:v>4</c:v>
                </c:pt>
                <c:pt idx="6">
                  <c:v>4</c:v>
                </c:pt>
                <c:pt idx="7">
                  <c:v>3</c:v>
                </c:pt>
                <c:pt idx="8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overlap val="-27"/>
        <c:axId val="113855408"/>
        <c:axId val="113855800"/>
      </c:barChart>
      <c:catAx>
        <c:axId val="113855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13855800"/>
        <c:crosses val="autoZero"/>
        <c:auto val="1"/>
        <c:lblAlgn val="ctr"/>
        <c:lblOffset val="100"/>
        <c:noMultiLvlLbl val="0"/>
      </c:catAx>
      <c:valAx>
        <c:axId val="113855800"/>
        <c:scaling>
          <c:orientation val="minMax"/>
        </c:scaling>
        <c:delete val="1"/>
        <c:axPos val="l"/>
        <c:numFmt formatCode="0" sourceLinked="1"/>
        <c:majorTickMark val="none"/>
        <c:minorTickMark val="none"/>
        <c:tickLblPos val="nextTo"/>
        <c:crossAx val="1138554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754274179609953"/>
          <c:y val="4.1016030021040761E-2"/>
          <c:w val="0.85219685039370074"/>
          <c:h val="0.8416746864975212"/>
        </c:manualLayout>
      </c:layout>
      <c:lineChart>
        <c:grouping val="standard"/>
        <c:varyColors val="0"/>
        <c:ser>
          <c:idx val="0"/>
          <c:order val="0"/>
          <c:spPr>
            <a:ln w="15875" cap="rnd">
              <a:solidFill>
                <a:srgbClr val="8585B0"/>
              </a:solidFill>
              <a:round/>
            </a:ln>
            <a:effectLst/>
          </c:spPr>
          <c:marker>
            <c:symbol val="circle"/>
            <c:size val="12"/>
            <c:spPr>
              <a:solidFill>
                <a:srgbClr val="8585B0"/>
              </a:solidFill>
              <a:ln w="9525">
                <a:solidFill>
                  <a:srgbClr val="8585B0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rgbClr val="8585B0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Arkusz2!$D$2:$M$2</c:f>
              <c:numCache>
                <c:formatCode>General</c:formatCode>
                <c:ptCount val="10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</c:numCache>
            </c:numRef>
          </c:cat>
          <c:val>
            <c:numRef>
              <c:f>Arkusz2!$D$3:$M$3</c:f>
              <c:numCache>
                <c:formatCode>#,##0</c:formatCode>
                <c:ptCount val="10"/>
                <c:pt idx="0">
                  <c:v>479500</c:v>
                </c:pt>
                <c:pt idx="1">
                  <c:v>433000</c:v>
                </c:pt>
                <c:pt idx="2">
                  <c:v>373000</c:v>
                </c:pt>
                <c:pt idx="3">
                  <c:v>373000</c:v>
                </c:pt>
                <c:pt idx="4">
                  <c:v>360000</c:v>
                </c:pt>
                <c:pt idx="5">
                  <c:v>426000</c:v>
                </c:pt>
                <c:pt idx="6">
                  <c:v>470150</c:v>
                </c:pt>
                <c:pt idx="7">
                  <c:v>430000</c:v>
                </c:pt>
                <c:pt idx="8">
                  <c:v>466350</c:v>
                </c:pt>
                <c:pt idx="9">
                  <c:v>487272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3857760"/>
        <c:axId val="113859720"/>
      </c:lineChart>
      <c:catAx>
        <c:axId val="113857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13859720"/>
        <c:crosses val="autoZero"/>
        <c:auto val="1"/>
        <c:lblAlgn val="ctr"/>
        <c:lblOffset val="100"/>
        <c:noMultiLvlLbl val="0"/>
      </c:catAx>
      <c:valAx>
        <c:axId val="113859720"/>
        <c:scaling>
          <c:orientation val="minMax"/>
          <c:max val="550000"/>
          <c:min val="300000"/>
        </c:scaling>
        <c:delete val="0"/>
        <c:axPos val="l"/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138577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80515572496113"/>
          <c:y val="8.4839408245729026E-2"/>
          <c:w val="0.82275523680559037"/>
          <c:h val="0.81927930768401047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>
              <a:outerShdw blurRad="50800" dist="38100" dir="2700000" algn="tl" rotWithShape="0">
                <a:prstClr val="black">
                  <a:alpha val="40000"/>
                </a:prstClr>
              </a:outerShdw>
            </a:effectLst>
          </c:spPr>
          <c:invertIfNegative val="0"/>
          <c:dPt>
            <c:idx val="0"/>
            <c:invertIfNegative val="0"/>
            <c:bubble3D val="0"/>
            <c:spPr>
              <a:solidFill>
                <a:srgbClr val="EB605B"/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dPt>
          <c:dPt>
            <c:idx val="1"/>
            <c:invertIfNegative val="0"/>
            <c:bubble3D val="0"/>
            <c:spPr>
              <a:solidFill>
                <a:srgbClr val="F6A047"/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dPt>
          <c:dPt>
            <c:idx val="2"/>
            <c:invertIfNegative val="0"/>
            <c:bubble3D val="0"/>
            <c:spPr>
              <a:solidFill>
                <a:srgbClr val="8585B0"/>
              </a:solid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</c:dPt>
          <c:dLbls>
            <c:dLbl>
              <c:idx val="1"/>
              <c:layout/>
              <c:tx>
                <c:rich>
                  <a:bodyPr/>
                  <a:lstStyle/>
                  <a:p>
                    <a:fld id="{BB6AF278-1A78-49F0-B7D0-18E66D5C39DD}" type="VALUE">
                      <a:rPr lang="en-US">
                        <a:solidFill>
                          <a:srgbClr val="FFC000"/>
                        </a:solidFill>
                      </a:rPr>
                      <a:pPr/>
                      <a:t>[WARTOŚĆ]</a:t>
                    </a:fld>
                    <a:endParaRPr lang="pl-PL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rgbClr val="8585B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l-PL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rgbClr val="EB605B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Arkusz2!$B$26:$B$28</c:f>
              <c:strCache>
                <c:ptCount val="3"/>
                <c:pt idx="0">
                  <c:v>poniżej 50 mln PLN</c:v>
                </c:pt>
                <c:pt idx="1">
                  <c:v>50-99,9 mln PLN</c:v>
                </c:pt>
                <c:pt idx="2">
                  <c:v>100 mln PLN i więcej</c:v>
                </c:pt>
              </c:strCache>
            </c:strRef>
          </c:cat>
          <c:val>
            <c:numRef>
              <c:f>Arkusz2!$C$26:$C$28</c:f>
              <c:numCache>
                <c:formatCode>#,##0</c:formatCode>
                <c:ptCount val="3"/>
                <c:pt idx="0">
                  <c:v>236125</c:v>
                </c:pt>
                <c:pt idx="1">
                  <c:v>387500</c:v>
                </c:pt>
                <c:pt idx="2">
                  <c:v>1002250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9"/>
        <c:overlap val="-27"/>
        <c:axId val="113858936"/>
        <c:axId val="115108440"/>
      </c:barChart>
      <c:catAx>
        <c:axId val="113858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15108440"/>
        <c:crosses val="autoZero"/>
        <c:auto val="1"/>
        <c:lblAlgn val="ctr"/>
        <c:lblOffset val="100"/>
        <c:noMultiLvlLbl val="0"/>
      </c:catAx>
      <c:valAx>
        <c:axId val="115108440"/>
        <c:scaling>
          <c:orientation val="minMax"/>
        </c:scaling>
        <c:delete val="0"/>
        <c:axPos val="l"/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13858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B2CE41C-53C6-409E-B6E9-A337A94C889D}" type="doc">
      <dgm:prSet loTypeId="urn:microsoft.com/office/officeart/2005/8/layout/default" loCatId="list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pl-PL"/>
        </a:p>
      </dgm:t>
    </dgm:pt>
    <dgm:pt modelId="{629E03C4-BF66-4533-8EEB-DFFD9150F508}">
      <dgm:prSet phldrT="[Tekst]" custT="1"/>
      <dgm:spPr>
        <a:solidFill>
          <a:srgbClr val="77C3D8"/>
        </a:solidFill>
      </dgm:spPr>
      <dgm:t>
        <a:bodyPr/>
        <a:lstStyle/>
        <a:p>
          <a:r>
            <a:rPr lang="pl-PL" sz="2800"/>
            <a:t>487,3 </a:t>
          </a:r>
          <a:br>
            <a:rPr lang="pl-PL" sz="2800"/>
          </a:br>
          <a:r>
            <a:rPr lang="pl-PL" sz="2800"/>
            <a:t>tys. PLN</a:t>
          </a:r>
        </a:p>
      </dgm:t>
    </dgm:pt>
    <dgm:pt modelId="{BA50CEEA-1F28-4C2C-869B-64A8FA188F0E}" type="parTrans" cxnId="{DF065E49-ACB3-4CA4-9E29-BED96C8FE4A1}">
      <dgm:prSet/>
      <dgm:spPr/>
      <dgm:t>
        <a:bodyPr/>
        <a:lstStyle/>
        <a:p>
          <a:endParaRPr lang="pl-PL"/>
        </a:p>
      </dgm:t>
    </dgm:pt>
    <dgm:pt modelId="{5EB302A0-5ACF-47BB-9E77-6A95F35B75F8}" type="sibTrans" cxnId="{DF065E49-ACB3-4CA4-9E29-BED96C8FE4A1}">
      <dgm:prSet/>
      <dgm:spPr/>
      <dgm:t>
        <a:bodyPr/>
        <a:lstStyle/>
        <a:p>
          <a:endParaRPr lang="pl-PL"/>
        </a:p>
      </dgm:t>
    </dgm:pt>
    <dgm:pt modelId="{C3068BC1-0F39-4547-AFF8-98B509AD5E07}">
      <dgm:prSet phldrT="[Tekst]" custT="1"/>
      <dgm:spPr>
        <a:noFill/>
        <a:ln>
          <a:noFill/>
        </a:ln>
      </dgm:spPr>
      <dgm:t>
        <a:bodyPr/>
        <a:lstStyle/>
        <a:p>
          <a:r>
            <a:rPr lang="pl-PL" sz="1600">
              <a:solidFill>
                <a:srgbClr val="77C3D8"/>
              </a:solidFill>
            </a:rPr>
            <a:t>tyle wyniosła mediana wynagrodzeń menedżerów spółek IT w 2015 roku</a:t>
          </a:r>
        </a:p>
      </dgm:t>
    </dgm:pt>
    <dgm:pt modelId="{CEC07D02-73AC-4391-A8B2-994DE8C75C34}" type="parTrans" cxnId="{53C01D16-66EE-43C3-A3C8-0B86FF4F5947}">
      <dgm:prSet/>
      <dgm:spPr/>
      <dgm:t>
        <a:bodyPr/>
        <a:lstStyle/>
        <a:p>
          <a:endParaRPr lang="pl-PL"/>
        </a:p>
      </dgm:t>
    </dgm:pt>
    <dgm:pt modelId="{7993BEB9-56B8-4111-98D1-5169E7C0D6DA}" type="sibTrans" cxnId="{53C01D16-66EE-43C3-A3C8-0B86FF4F5947}">
      <dgm:prSet/>
      <dgm:spPr/>
      <dgm:t>
        <a:bodyPr/>
        <a:lstStyle/>
        <a:p>
          <a:endParaRPr lang="pl-PL"/>
        </a:p>
      </dgm:t>
    </dgm:pt>
    <dgm:pt modelId="{D73B5DD7-9283-4CF7-AB50-B0C3860D1ABA}">
      <dgm:prSet phldrT="[Tekst]" custT="1"/>
      <dgm:spPr>
        <a:solidFill>
          <a:srgbClr val="77C3D8"/>
        </a:solidFill>
      </dgm:spPr>
      <dgm:t>
        <a:bodyPr/>
        <a:lstStyle/>
        <a:p>
          <a:r>
            <a:rPr lang="pl-PL" sz="2800"/>
            <a:t>4,5 %</a:t>
          </a:r>
        </a:p>
      </dgm:t>
    </dgm:pt>
    <dgm:pt modelId="{92163023-9D7A-41B0-934A-A6C31E2C6B07}" type="parTrans" cxnId="{068B9A25-CE30-4F3E-B816-63EB9263AD4C}">
      <dgm:prSet/>
      <dgm:spPr/>
      <dgm:t>
        <a:bodyPr/>
        <a:lstStyle/>
        <a:p>
          <a:endParaRPr lang="pl-PL"/>
        </a:p>
      </dgm:t>
    </dgm:pt>
    <dgm:pt modelId="{EE7C7C72-8449-4C76-B725-0365EEFECD5D}" type="sibTrans" cxnId="{068B9A25-CE30-4F3E-B816-63EB9263AD4C}">
      <dgm:prSet/>
      <dgm:spPr/>
      <dgm:t>
        <a:bodyPr/>
        <a:lstStyle/>
        <a:p>
          <a:endParaRPr lang="pl-PL"/>
        </a:p>
      </dgm:t>
    </dgm:pt>
    <dgm:pt modelId="{C228124E-B936-424C-9DBF-5C710B16942E}">
      <dgm:prSet phldrT="[Tekst]" custT="1"/>
      <dgm:spPr>
        <a:noFill/>
        <a:ln>
          <a:noFill/>
        </a:ln>
      </dgm:spPr>
      <dgm:t>
        <a:bodyPr/>
        <a:lstStyle/>
        <a:p>
          <a:r>
            <a:rPr lang="pl-PL" sz="1800">
              <a:solidFill>
                <a:srgbClr val="77C3D8"/>
              </a:solidFill>
            </a:rPr>
            <a:t>o tyle wzrosły wynagrodzenia członków </a:t>
          </a:r>
          <a:r>
            <a:rPr lang="pl-PL" sz="1600">
              <a:solidFill>
                <a:srgbClr val="77C3D8"/>
              </a:solidFill>
            </a:rPr>
            <a:t>zarządów</a:t>
          </a:r>
          <a:r>
            <a:rPr lang="pl-PL" sz="1800">
              <a:solidFill>
                <a:srgbClr val="77C3D8"/>
              </a:solidFill>
            </a:rPr>
            <a:t> w stosunku do 2014 roku</a:t>
          </a:r>
        </a:p>
      </dgm:t>
    </dgm:pt>
    <dgm:pt modelId="{6A4BD316-6695-4233-A7E5-A9A0738858FE}" type="parTrans" cxnId="{191DC8ED-BD6A-4AA4-8FBD-F5B7A200D866}">
      <dgm:prSet/>
      <dgm:spPr/>
      <dgm:t>
        <a:bodyPr/>
        <a:lstStyle/>
        <a:p>
          <a:endParaRPr lang="pl-PL"/>
        </a:p>
      </dgm:t>
    </dgm:pt>
    <dgm:pt modelId="{3BA8F7BE-95F5-4126-8FEC-5501A1904EA1}" type="sibTrans" cxnId="{191DC8ED-BD6A-4AA4-8FBD-F5B7A200D866}">
      <dgm:prSet/>
      <dgm:spPr/>
      <dgm:t>
        <a:bodyPr/>
        <a:lstStyle/>
        <a:p>
          <a:endParaRPr lang="pl-PL"/>
        </a:p>
      </dgm:t>
    </dgm:pt>
    <dgm:pt modelId="{FAC1818C-92C6-4D4B-859F-EF924459FC6B}" type="pres">
      <dgm:prSet presAssocID="{AB2CE41C-53C6-409E-B6E9-A337A94C889D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157D4095-5262-4A47-B296-BA4D56D17DB5}" type="pres">
      <dgm:prSet presAssocID="{629E03C4-BF66-4533-8EEB-DFFD9150F508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51C1E5D8-AD5C-4043-93F9-9AAD53438821}" type="pres">
      <dgm:prSet presAssocID="{5EB302A0-5ACF-47BB-9E77-6A95F35B75F8}" presName="sibTrans" presStyleCnt="0"/>
      <dgm:spPr/>
    </dgm:pt>
    <dgm:pt modelId="{7C0D0529-D885-4064-B9E3-C712A10AEA05}" type="pres">
      <dgm:prSet presAssocID="{C3068BC1-0F39-4547-AFF8-98B509AD5E07}" presName="node" presStyleLbl="node1" presStyleIdx="1" presStyleCnt="4" custScaleX="255080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8D867A9B-A0D9-4F60-A51E-F4A9B8B3FA82}" type="pres">
      <dgm:prSet presAssocID="{7993BEB9-56B8-4111-98D1-5169E7C0D6DA}" presName="sibTrans" presStyleCnt="0"/>
      <dgm:spPr/>
    </dgm:pt>
    <dgm:pt modelId="{B0A56D56-BD1F-446D-B968-9E053E47904D}" type="pres">
      <dgm:prSet presAssocID="{D73B5DD7-9283-4CF7-AB50-B0C3860D1ABA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7E2A8C59-E70E-4B2C-A3E0-2FF5643DB894}" type="pres">
      <dgm:prSet presAssocID="{EE7C7C72-8449-4C76-B725-0365EEFECD5D}" presName="sibTrans" presStyleCnt="0"/>
      <dgm:spPr/>
    </dgm:pt>
    <dgm:pt modelId="{EEE797F7-4436-458E-9BA8-5DAEA0FA04EC}" type="pres">
      <dgm:prSet presAssocID="{C228124E-B936-424C-9DBF-5C710B16942E}" presName="node" presStyleLbl="node1" presStyleIdx="3" presStyleCnt="4" custScaleX="255080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65842B75-A023-41FF-95CF-F94B6F2F148A}" type="presOf" srcId="{C228124E-B936-424C-9DBF-5C710B16942E}" destId="{EEE797F7-4436-458E-9BA8-5DAEA0FA04EC}" srcOrd="0" destOrd="0" presId="urn:microsoft.com/office/officeart/2005/8/layout/default"/>
    <dgm:cxn modelId="{DF065E49-ACB3-4CA4-9E29-BED96C8FE4A1}" srcId="{AB2CE41C-53C6-409E-B6E9-A337A94C889D}" destId="{629E03C4-BF66-4533-8EEB-DFFD9150F508}" srcOrd="0" destOrd="0" parTransId="{BA50CEEA-1F28-4C2C-869B-64A8FA188F0E}" sibTransId="{5EB302A0-5ACF-47BB-9E77-6A95F35B75F8}"/>
    <dgm:cxn modelId="{394CDD86-C62B-482D-8025-37EC9163FF40}" type="presOf" srcId="{C3068BC1-0F39-4547-AFF8-98B509AD5E07}" destId="{7C0D0529-D885-4064-B9E3-C712A10AEA05}" srcOrd="0" destOrd="0" presId="urn:microsoft.com/office/officeart/2005/8/layout/default"/>
    <dgm:cxn modelId="{C1DA9503-2105-4ADD-8615-A8F0CC12257A}" type="presOf" srcId="{AB2CE41C-53C6-409E-B6E9-A337A94C889D}" destId="{FAC1818C-92C6-4D4B-859F-EF924459FC6B}" srcOrd="0" destOrd="0" presId="urn:microsoft.com/office/officeart/2005/8/layout/default"/>
    <dgm:cxn modelId="{D9FC6A1A-50B5-4DCF-91EC-1E7B1E8828AC}" type="presOf" srcId="{629E03C4-BF66-4533-8EEB-DFFD9150F508}" destId="{157D4095-5262-4A47-B296-BA4D56D17DB5}" srcOrd="0" destOrd="0" presId="urn:microsoft.com/office/officeart/2005/8/layout/default"/>
    <dgm:cxn modelId="{53C01D16-66EE-43C3-A3C8-0B86FF4F5947}" srcId="{AB2CE41C-53C6-409E-B6E9-A337A94C889D}" destId="{C3068BC1-0F39-4547-AFF8-98B509AD5E07}" srcOrd="1" destOrd="0" parTransId="{CEC07D02-73AC-4391-A8B2-994DE8C75C34}" sibTransId="{7993BEB9-56B8-4111-98D1-5169E7C0D6DA}"/>
    <dgm:cxn modelId="{068B9A25-CE30-4F3E-B816-63EB9263AD4C}" srcId="{AB2CE41C-53C6-409E-B6E9-A337A94C889D}" destId="{D73B5DD7-9283-4CF7-AB50-B0C3860D1ABA}" srcOrd="2" destOrd="0" parTransId="{92163023-9D7A-41B0-934A-A6C31E2C6B07}" sibTransId="{EE7C7C72-8449-4C76-B725-0365EEFECD5D}"/>
    <dgm:cxn modelId="{25F09B06-3097-4C3D-A84E-105DB25F5D0C}" type="presOf" srcId="{D73B5DD7-9283-4CF7-AB50-B0C3860D1ABA}" destId="{B0A56D56-BD1F-446D-B968-9E053E47904D}" srcOrd="0" destOrd="0" presId="urn:microsoft.com/office/officeart/2005/8/layout/default"/>
    <dgm:cxn modelId="{191DC8ED-BD6A-4AA4-8FBD-F5B7A200D866}" srcId="{AB2CE41C-53C6-409E-B6E9-A337A94C889D}" destId="{C228124E-B936-424C-9DBF-5C710B16942E}" srcOrd="3" destOrd="0" parTransId="{6A4BD316-6695-4233-A7E5-A9A0738858FE}" sibTransId="{3BA8F7BE-95F5-4126-8FEC-5501A1904EA1}"/>
    <dgm:cxn modelId="{4BEED94A-870C-40D8-A952-5451207D5C1A}" type="presParOf" srcId="{FAC1818C-92C6-4D4B-859F-EF924459FC6B}" destId="{157D4095-5262-4A47-B296-BA4D56D17DB5}" srcOrd="0" destOrd="0" presId="urn:microsoft.com/office/officeart/2005/8/layout/default"/>
    <dgm:cxn modelId="{37C01ED4-47A8-4310-91C9-DF27A3C8D3DF}" type="presParOf" srcId="{FAC1818C-92C6-4D4B-859F-EF924459FC6B}" destId="{51C1E5D8-AD5C-4043-93F9-9AAD53438821}" srcOrd="1" destOrd="0" presId="urn:microsoft.com/office/officeart/2005/8/layout/default"/>
    <dgm:cxn modelId="{10BF26BC-1423-4D42-92E2-DD5F5179E4B5}" type="presParOf" srcId="{FAC1818C-92C6-4D4B-859F-EF924459FC6B}" destId="{7C0D0529-D885-4064-B9E3-C712A10AEA05}" srcOrd="2" destOrd="0" presId="urn:microsoft.com/office/officeart/2005/8/layout/default"/>
    <dgm:cxn modelId="{51EE0180-0B3D-486C-A20C-0732E2A4A220}" type="presParOf" srcId="{FAC1818C-92C6-4D4B-859F-EF924459FC6B}" destId="{8D867A9B-A0D9-4F60-A51E-F4A9B8B3FA82}" srcOrd="3" destOrd="0" presId="urn:microsoft.com/office/officeart/2005/8/layout/default"/>
    <dgm:cxn modelId="{4BBDED97-4AA5-4123-98EC-5244E7C96A9B}" type="presParOf" srcId="{FAC1818C-92C6-4D4B-859F-EF924459FC6B}" destId="{B0A56D56-BD1F-446D-B968-9E053E47904D}" srcOrd="4" destOrd="0" presId="urn:microsoft.com/office/officeart/2005/8/layout/default"/>
    <dgm:cxn modelId="{FFDF9676-6448-4954-A278-C37538CC1FFD}" type="presParOf" srcId="{FAC1818C-92C6-4D4B-859F-EF924459FC6B}" destId="{7E2A8C59-E70E-4B2C-A3E0-2FF5643DB894}" srcOrd="5" destOrd="0" presId="urn:microsoft.com/office/officeart/2005/8/layout/default"/>
    <dgm:cxn modelId="{1AF76C40-60B1-4FE6-A0B9-21CD9F7FB959}" type="presParOf" srcId="{FAC1818C-92C6-4D4B-859F-EF924459FC6B}" destId="{EEE797F7-4436-458E-9BA8-5DAEA0FA04EC}" srcOrd="6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7D4095-5262-4A47-B296-BA4D56D17DB5}">
      <dsp:nvSpPr>
        <dsp:cNvPr id="0" name=""/>
        <dsp:cNvSpPr/>
      </dsp:nvSpPr>
      <dsp:spPr>
        <a:xfrm>
          <a:off x="4942" y="25816"/>
          <a:ext cx="1558528" cy="935116"/>
        </a:xfrm>
        <a:prstGeom prst="rect">
          <a:avLst/>
        </a:prstGeom>
        <a:solidFill>
          <a:srgbClr val="77C3D8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800" kern="1200"/>
            <a:t>487,3 </a:t>
          </a:r>
          <a:br>
            <a:rPr lang="pl-PL" sz="2800" kern="1200"/>
          </a:br>
          <a:r>
            <a:rPr lang="pl-PL" sz="2800" kern="1200"/>
            <a:t>tys. PLN</a:t>
          </a:r>
        </a:p>
      </dsp:txBody>
      <dsp:txXfrm>
        <a:off x="4942" y="25816"/>
        <a:ext cx="1558528" cy="935116"/>
      </dsp:txXfrm>
    </dsp:sp>
    <dsp:sp modelId="{7C0D0529-D885-4064-B9E3-C712A10AEA05}">
      <dsp:nvSpPr>
        <dsp:cNvPr id="0" name=""/>
        <dsp:cNvSpPr/>
      </dsp:nvSpPr>
      <dsp:spPr>
        <a:xfrm>
          <a:off x="1719323" y="25816"/>
          <a:ext cx="3975493" cy="93511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kern="1200">
              <a:solidFill>
                <a:srgbClr val="77C3D8"/>
              </a:solidFill>
            </a:rPr>
            <a:t>tyle wyniosła mediana wynagrodzeń menedżerów spółek IT w 2015 roku</a:t>
          </a:r>
        </a:p>
      </dsp:txBody>
      <dsp:txXfrm>
        <a:off x="1719323" y="25816"/>
        <a:ext cx="3975493" cy="935116"/>
      </dsp:txXfrm>
    </dsp:sp>
    <dsp:sp modelId="{B0A56D56-BD1F-446D-B968-9E053E47904D}">
      <dsp:nvSpPr>
        <dsp:cNvPr id="0" name=""/>
        <dsp:cNvSpPr/>
      </dsp:nvSpPr>
      <dsp:spPr>
        <a:xfrm>
          <a:off x="4942" y="1116786"/>
          <a:ext cx="1558528" cy="935116"/>
        </a:xfrm>
        <a:prstGeom prst="rect">
          <a:avLst/>
        </a:prstGeom>
        <a:solidFill>
          <a:srgbClr val="77C3D8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2800" kern="1200"/>
            <a:t>4,5 %</a:t>
          </a:r>
        </a:p>
      </dsp:txBody>
      <dsp:txXfrm>
        <a:off x="4942" y="1116786"/>
        <a:ext cx="1558528" cy="935116"/>
      </dsp:txXfrm>
    </dsp:sp>
    <dsp:sp modelId="{EEE797F7-4436-458E-9BA8-5DAEA0FA04EC}">
      <dsp:nvSpPr>
        <dsp:cNvPr id="0" name=""/>
        <dsp:cNvSpPr/>
      </dsp:nvSpPr>
      <dsp:spPr>
        <a:xfrm>
          <a:off x="1719323" y="1116786"/>
          <a:ext cx="3975493" cy="935116"/>
        </a:xfrm>
        <a:prstGeom prst="rect">
          <a:avLst/>
        </a:pr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800" kern="1200">
              <a:solidFill>
                <a:srgbClr val="77C3D8"/>
              </a:solidFill>
            </a:rPr>
            <a:t>o tyle wzrosły wynagrodzenia członków </a:t>
          </a:r>
          <a:r>
            <a:rPr lang="pl-PL" sz="1600" kern="1200">
              <a:solidFill>
                <a:srgbClr val="77C3D8"/>
              </a:solidFill>
            </a:rPr>
            <a:t>zarządów</a:t>
          </a:r>
          <a:r>
            <a:rPr lang="pl-PL" sz="1800" kern="1200">
              <a:solidFill>
                <a:srgbClr val="77C3D8"/>
              </a:solidFill>
            </a:rPr>
            <a:t> w stosunku do 2014 roku</a:t>
          </a:r>
        </a:p>
      </dsp:txBody>
      <dsp:txXfrm>
        <a:off x="1719323" y="1116786"/>
        <a:ext cx="3975493" cy="9351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49A1A-C2A2-4359-BDDF-F510FC23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633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4423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Konrad Akowacz</cp:lastModifiedBy>
  <cp:revision>12</cp:revision>
  <cp:lastPrinted>2016-08-16T08:19:00Z</cp:lastPrinted>
  <dcterms:created xsi:type="dcterms:W3CDTF">2016-08-16T08:13:00Z</dcterms:created>
  <dcterms:modified xsi:type="dcterms:W3CDTF">2016-08-16T08:20:00Z</dcterms:modified>
</cp:coreProperties>
</file>