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F73" w:rsidRPr="00A217F4" w:rsidRDefault="00BA68DF" w:rsidP="00BC1378">
      <w:pPr>
        <w:pStyle w:val="Nagwek1"/>
        <w:spacing w:line="276" w:lineRule="auto"/>
        <w:ind w:left="0"/>
        <w:rPr>
          <w:rFonts w:asciiTheme="minorHAnsi" w:hAnsiTheme="minorHAnsi"/>
          <w:b w:val="0"/>
          <w:bCs w:val="0"/>
          <w:sz w:val="20"/>
        </w:rPr>
      </w:pPr>
      <w:r>
        <w:rPr>
          <w:rFonts w:asciiTheme="minorHAnsi" w:hAnsiTheme="minorHAnsi"/>
          <w:b w:val="0"/>
          <w:bCs w:val="0"/>
          <w:sz w:val="20"/>
        </w:rPr>
        <w:t>10.05.2018</w:t>
      </w:r>
    </w:p>
    <w:p w:rsidR="006A2F73" w:rsidRPr="00A217F4" w:rsidRDefault="006A2F73" w:rsidP="00BC1378">
      <w:pPr>
        <w:pStyle w:val="Nagwek1"/>
        <w:spacing w:line="276" w:lineRule="auto"/>
        <w:ind w:left="0"/>
        <w:rPr>
          <w:rFonts w:asciiTheme="minorHAnsi" w:hAnsiTheme="minorHAnsi" w:cs="Arial"/>
          <w:b w:val="0"/>
          <w:bCs w:val="0"/>
          <w:sz w:val="22"/>
          <w:szCs w:val="22"/>
        </w:rPr>
      </w:pPr>
      <w:r w:rsidRPr="00A217F4">
        <w:rPr>
          <w:rFonts w:asciiTheme="minorHAnsi" w:hAnsiTheme="minorHAnsi" w:cs="Arial"/>
          <w:b w:val="0"/>
          <w:bCs w:val="0"/>
          <w:sz w:val="20"/>
          <w:szCs w:val="22"/>
        </w:rPr>
        <w:t>Informacja prasowa portalu</w:t>
      </w:r>
    </w:p>
    <w:p w:rsidR="006A2F73" w:rsidRPr="00A217F4" w:rsidRDefault="00884F06" w:rsidP="00BC1378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A217F4">
        <w:rPr>
          <w:rFonts w:asciiTheme="minorHAnsi" w:hAnsiTheme="minorHAnsi"/>
          <w:noProof/>
          <w:lang w:eastAsia="pl-PL"/>
        </w:rPr>
        <w:drawing>
          <wp:inline distT="0" distB="0" distL="0" distR="0">
            <wp:extent cx="1466850" cy="219075"/>
            <wp:effectExtent l="19050" t="0" r="0" b="0"/>
            <wp:docPr id="1" name="Obraz 1" descr="wynagrodzeni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ynagrodzenia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3DA" w:rsidRPr="00A217F4" w:rsidRDefault="006D03DA" w:rsidP="00BC1378">
      <w:pPr>
        <w:pStyle w:val="Tekstpodstawowy2"/>
        <w:tabs>
          <w:tab w:val="left" w:pos="7560"/>
        </w:tabs>
        <w:spacing w:line="276" w:lineRule="auto"/>
        <w:rPr>
          <w:rFonts w:asciiTheme="minorHAnsi" w:hAnsiTheme="minorHAnsi"/>
          <w:b/>
          <w:bCs/>
        </w:rPr>
      </w:pPr>
      <w:r w:rsidRPr="00A217F4">
        <w:rPr>
          <w:rFonts w:asciiTheme="minorHAnsi" w:hAnsiTheme="minorHAnsi"/>
          <w:b/>
          <w:bCs/>
        </w:rPr>
        <w:t>Pytania i dodatkowe informacje:</w:t>
      </w:r>
    </w:p>
    <w:p w:rsidR="006D03DA" w:rsidRPr="00A217F4" w:rsidRDefault="006D03DA" w:rsidP="00BC1378">
      <w:pPr>
        <w:pStyle w:val="Tekstpodstawowy2"/>
        <w:tabs>
          <w:tab w:val="left" w:pos="7560"/>
        </w:tabs>
        <w:spacing w:line="276" w:lineRule="auto"/>
        <w:rPr>
          <w:rFonts w:asciiTheme="minorHAnsi" w:hAnsiTheme="minorHAnsi"/>
        </w:rPr>
      </w:pPr>
      <w:r w:rsidRPr="00A217F4">
        <w:rPr>
          <w:rFonts w:asciiTheme="minorHAnsi" w:hAnsiTheme="minorHAnsi"/>
        </w:rPr>
        <w:t xml:space="preserve">tel. </w:t>
      </w:r>
      <w:r w:rsidR="00BA68DF">
        <w:rPr>
          <w:rFonts w:asciiTheme="minorHAnsi" w:hAnsiTheme="minorHAnsi"/>
        </w:rPr>
        <w:t>12 423 00</w:t>
      </w:r>
      <w:r w:rsidR="00542392">
        <w:rPr>
          <w:rFonts w:asciiTheme="minorHAnsi" w:hAnsiTheme="minorHAnsi"/>
        </w:rPr>
        <w:t xml:space="preserve"> </w:t>
      </w:r>
      <w:r w:rsidR="00BA68DF">
        <w:rPr>
          <w:rFonts w:asciiTheme="minorHAnsi" w:hAnsiTheme="minorHAnsi"/>
        </w:rPr>
        <w:t>45</w:t>
      </w:r>
    </w:p>
    <w:p w:rsidR="006D03DA" w:rsidRPr="00A217F4" w:rsidRDefault="00B147A2" w:rsidP="00BC1378">
      <w:pPr>
        <w:pStyle w:val="Tekstpodstawowy"/>
        <w:tabs>
          <w:tab w:val="left" w:pos="3686"/>
          <w:tab w:val="left" w:pos="7560"/>
        </w:tabs>
        <w:spacing w:line="276" w:lineRule="auto"/>
        <w:jc w:val="right"/>
        <w:rPr>
          <w:rFonts w:asciiTheme="minorHAnsi" w:hAnsiTheme="minorHAnsi" w:cs="Arial"/>
          <w:b w:val="0"/>
          <w:color w:val="000080"/>
          <w:sz w:val="20"/>
        </w:rPr>
      </w:pPr>
      <w:hyperlink r:id="rId9" w:history="1">
        <w:r w:rsidR="006D03DA" w:rsidRPr="00A217F4">
          <w:rPr>
            <w:rStyle w:val="Hipercze"/>
            <w:rFonts w:asciiTheme="minorHAnsi" w:hAnsiTheme="minorHAnsi" w:cs="Arial"/>
            <w:b w:val="0"/>
            <w:sz w:val="20"/>
          </w:rPr>
          <w:t>media@sedlak.pl</w:t>
        </w:r>
      </w:hyperlink>
    </w:p>
    <w:p w:rsidR="000D470B" w:rsidRDefault="000D470B" w:rsidP="00C53DE9">
      <w:pPr>
        <w:spacing w:line="276" w:lineRule="auto"/>
        <w:jc w:val="center"/>
        <w:rPr>
          <w:rFonts w:asciiTheme="minorHAnsi" w:eastAsia="Calibri" w:hAnsiTheme="minorHAnsi"/>
          <w:b/>
          <w:color w:val="002060"/>
          <w:sz w:val="40"/>
          <w:szCs w:val="40"/>
        </w:rPr>
      </w:pPr>
    </w:p>
    <w:p w:rsidR="00BA68DF" w:rsidRPr="00AD12F5" w:rsidRDefault="00BA68DF" w:rsidP="00BA68DF">
      <w:pPr>
        <w:pStyle w:val="TytuSedlak0"/>
      </w:pPr>
      <w:r w:rsidRPr="00AD12F5">
        <w:t>płac</w:t>
      </w:r>
      <w:r>
        <w:t>A minimalna</w:t>
      </w:r>
      <w:r w:rsidRPr="00AD12F5">
        <w:t xml:space="preserve"> w krajach Unii Europejskiej</w:t>
      </w:r>
    </w:p>
    <w:p w:rsidR="00BA68DF" w:rsidRDefault="00BA68DF" w:rsidP="00BA68DF">
      <w:pPr>
        <w:pStyle w:val="tekstsedalk"/>
        <w:rPr>
          <w:b/>
        </w:rPr>
      </w:pPr>
    </w:p>
    <w:p w:rsidR="00BA68DF" w:rsidRDefault="00BA68DF" w:rsidP="00BA68DF">
      <w:pPr>
        <w:pStyle w:val="tekstsedalk"/>
        <w:rPr>
          <w:b/>
        </w:rPr>
      </w:pPr>
      <w:r w:rsidRPr="00D85C4B">
        <w:rPr>
          <w:b/>
        </w:rPr>
        <w:t xml:space="preserve">Wysokość płacy minimalnej </w:t>
      </w:r>
      <w:r>
        <w:rPr>
          <w:b/>
        </w:rPr>
        <w:t>jest</w:t>
      </w:r>
      <w:r w:rsidRPr="00D85C4B">
        <w:rPr>
          <w:b/>
        </w:rPr>
        <w:t xml:space="preserve"> </w:t>
      </w:r>
      <w:r>
        <w:rPr>
          <w:b/>
        </w:rPr>
        <w:t>tematem wielu dyskusji</w:t>
      </w:r>
      <w:r w:rsidRPr="00D85C4B">
        <w:rPr>
          <w:b/>
        </w:rPr>
        <w:t>.</w:t>
      </w:r>
      <w:r>
        <w:rPr>
          <w:b/>
        </w:rPr>
        <w:t xml:space="preserve"> </w:t>
      </w:r>
      <w:r w:rsidRPr="003B65E3">
        <w:rPr>
          <w:b/>
        </w:rPr>
        <w:t>Niektóre grupy społeczne domagają się jej podniesienia, z kolei inni przestrzegają przed jej zgubnym wpływem dla gospodarki.</w:t>
      </w:r>
      <w:r w:rsidRPr="00D85C4B">
        <w:rPr>
          <w:b/>
        </w:rPr>
        <w:t xml:space="preserve"> </w:t>
      </w:r>
      <w:r>
        <w:rPr>
          <w:b/>
        </w:rPr>
        <w:t xml:space="preserve">Od stycznia 2018 r. jej stawka w naszym kraju wynosi 2 100 PLN brutto miesięcznie. </w:t>
      </w:r>
      <w:r w:rsidRPr="00D85C4B">
        <w:rPr>
          <w:b/>
        </w:rPr>
        <w:t>P</w:t>
      </w:r>
      <w:r>
        <w:rPr>
          <w:b/>
        </w:rPr>
        <w:t>ostanowiliśmy p</w:t>
      </w:r>
      <w:r w:rsidRPr="00D85C4B">
        <w:rPr>
          <w:b/>
        </w:rPr>
        <w:t>rzyjrze</w:t>
      </w:r>
      <w:r>
        <w:rPr>
          <w:b/>
        </w:rPr>
        <w:t>ć</w:t>
      </w:r>
      <w:r w:rsidRPr="00D85C4B">
        <w:rPr>
          <w:b/>
        </w:rPr>
        <w:t xml:space="preserve"> się</w:t>
      </w:r>
      <w:r>
        <w:rPr>
          <w:b/>
        </w:rPr>
        <w:t>, jak</w:t>
      </w:r>
      <w:r w:rsidRPr="00D85C4B">
        <w:rPr>
          <w:b/>
        </w:rPr>
        <w:t xml:space="preserve"> płac</w:t>
      </w:r>
      <w:r>
        <w:rPr>
          <w:b/>
        </w:rPr>
        <w:t>a</w:t>
      </w:r>
      <w:r w:rsidRPr="00D85C4B">
        <w:rPr>
          <w:b/>
        </w:rPr>
        <w:t xml:space="preserve"> minimaln</w:t>
      </w:r>
      <w:r>
        <w:rPr>
          <w:b/>
        </w:rPr>
        <w:t>a</w:t>
      </w:r>
      <w:r w:rsidRPr="00D85C4B">
        <w:rPr>
          <w:b/>
        </w:rPr>
        <w:t xml:space="preserve"> </w:t>
      </w:r>
      <w:r>
        <w:rPr>
          <w:b/>
        </w:rPr>
        <w:t xml:space="preserve">obowiązująca w Polsce wypada na tle Unii Europejskiej. </w:t>
      </w:r>
    </w:p>
    <w:p w:rsidR="00BA68DF" w:rsidRDefault="00BA68DF" w:rsidP="00BA68DF">
      <w:pPr>
        <w:pStyle w:val="tekstsedalk"/>
        <w:rPr>
          <w:b/>
        </w:rPr>
      </w:pPr>
    </w:p>
    <w:p w:rsidR="00BA68DF" w:rsidRDefault="00BA68DF" w:rsidP="00BA68DF">
      <w:pPr>
        <w:pStyle w:val="tekstsedalk"/>
      </w:pPr>
      <w:r w:rsidRPr="00D85C4B">
        <w:t>W 2018 roku w 22 spośród 28</w:t>
      </w:r>
      <w:r>
        <w:t xml:space="preserve"> państw</w:t>
      </w:r>
      <w:r w:rsidRPr="00D85C4B">
        <w:t xml:space="preserve"> Unii Europejskiej obowiązuj</w:t>
      </w:r>
      <w:r>
        <w:t>ą regulacje</w:t>
      </w:r>
      <w:r w:rsidRPr="00D85C4B">
        <w:t xml:space="preserve"> </w:t>
      </w:r>
      <w:r>
        <w:t xml:space="preserve">dotyczące </w:t>
      </w:r>
      <w:r w:rsidRPr="00D85C4B">
        <w:t>płac</w:t>
      </w:r>
      <w:r>
        <w:t>y minimalnej</w:t>
      </w:r>
      <w:r w:rsidRPr="00D85C4B">
        <w:t xml:space="preserve">. Większość krajów </w:t>
      </w:r>
      <w:r>
        <w:t>wspólnoty</w:t>
      </w:r>
      <w:r w:rsidRPr="00D85C4B">
        <w:t xml:space="preserve"> obrało politykę systematycznego wzrostu</w:t>
      </w:r>
      <w:r>
        <w:t xml:space="preserve"> wynagrodzenia minimalnego</w:t>
      </w:r>
      <w:r w:rsidRPr="00D85C4B">
        <w:t xml:space="preserve">, zwiększając tym samym </w:t>
      </w:r>
      <w:r>
        <w:t xml:space="preserve">jego </w:t>
      </w:r>
      <w:r w:rsidRPr="00D85C4B">
        <w:t>udział w przeciętnych wynagrodzeniach.</w:t>
      </w:r>
      <w:r>
        <w:t xml:space="preserve"> </w:t>
      </w:r>
      <w:r w:rsidRPr="00D5530E">
        <w:t>Regulowane na poziomie krajowym stawki wynagrodze</w:t>
      </w:r>
      <w:r>
        <w:t xml:space="preserve">nia minimalnego nie obowiązują </w:t>
      </w:r>
      <w:r w:rsidRPr="00D5530E">
        <w:t>w Danii, Austrii, Finlandii, Szwecji, na Cyprze oraz we Włoszech.</w:t>
      </w:r>
      <w:r>
        <w:t xml:space="preserve"> Nie oznacza to jednak, że w tych krajach nie obowiązują żadne przepisy dotyczące wynagrodzenia minimalnego. Rozwiązania, jakie przyjęły te państwa, polegają na ustalaniu stawek na poziomie </w:t>
      </w:r>
      <w:r w:rsidRPr="002A5754">
        <w:t>sektorów</w:t>
      </w:r>
      <w:r>
        <w:t xml:space="preserve">, grup zawodowych czy branży. </w:t>
      </w:r>
    </w:p>
    <w:p w:rsidR="00BA68DF" w:rsidRPr="00D5530E" w:rsidRDefault="00BA68DF" w:rsidP="00BA68DF">
      <w:pPr>
        <w:pStyle w:val="tekstsedalk"/>
      </w:pPr>
    </w:p>
    <w:p w:rsidR="00BA68DF" w:rsidRDefault="00BA68DF" w:rsidP="00BA68DF">
      <w:pPr>
        <w:pStyle w:val="podtytusedlak"/>
      </w:pPr>
    </w:p>
    <w:p w:rsidR="00BA68DF" w:rsidRDefault="00BA68DF" w:rsidP="00BA68DF">
      <w:pPr>
        <w:pStyle w:val="podtytusedlak"/>
      </w:pPr>
      <w:r>
        <w:t>Wartość nominalna</w:t>
      </w:r>
    </w:p>
    <w:p w:rsidR="00BA68DF" w:rsidRDefault="00BA68DF" w:rsidP="00BA68DF">
      <w:pPr>
        <w:pStyle w:val="tekstsedalk"/>
      </w:pPr>
      <w:r>
        <w:t xml:space="preserve">Pod względem </w:t>
      </w:r>
      <w:r w:rsidRPr="00590662">
        <w:rPr>
          <w:b/>
        </w:rPr>
        <w:t>nominalnej</w:t>
      </w:r>
      <w:r>
        <w:t xml:space="preserve"> wartości płacy minimalnej, wyrażonej w euro, Polska zajmuje obecnie 13. pozycję wśród 22 krajów Unii Europejskiej. Najwyższa stawka wynagrodzenia minimalnego obowiązuje w Luksemburgu (1 999 EUR) i jest ona prawie 4 razy wyższa niż w Polsce. Najniższe wynagrodzenie minimalne funkcjonuje w Bułgarii – 261 EUR. Jest to zaledwie 52% stawki obowiązującej w Polsce. </w:t>
      </w:r>
    </w:p>
    <w:p w:rsidR="00BA68DF" w:rsidRDefault="00BA68DF" w:rsidP="00BA68DF">
      <w:pPr>
        <w:pStyle w:val="podtytusedlak"/>
      </w:pPr>
    </w:p>
    <w:p w:rsidR="00BA68DF" w:rsidRDefault="00BA68DF" w:rsidP="00BA68DF">
      <w:pPr>
        <w:pStyle w:val="podpissedlak"/>
      </w:pPr>
    </w:p>
    <w:p w:rsidR="00BA68DF" w:rsidRDefault="00BA68DF" w:rsidP="00BA68DF">
      <w:pPr>
        <w:pStyle w:val="podpissedlak"/>
      </w:pPr>
    </w:p>
    <w:p w:rsidR="00BA68DF" w:rsidRDefault="00BA68DF" w:rsidP="00BA68DF">
      <w:pPr>
        <w:pStyle w:val="podpissedlak"/>
      </w:pPr>
    </w:p>
    <w:p w:rsidR="00BA68DF" w:rsidRDefault="00BA68DF" w:rsidP="00BA68DF">
      <w:pPr>
        <w:pStyle w:val="podpissedlak"/>
      </w:pPr>
    </w:p>
    <w:p w:rsidR="00BA68DF" w:rsidRDefault="00BA68DF" w:rsidP="00BA68DF">
      <w:pPr>
        <w:pStyle w:val="podpissedlak"/>
      </w:pPr>
    </w:p>
    <w:p w:rsidR="00BA68DF" w:rsidRDefault="00BA68DF" w:rsidP="00BA68DF">
      <w:pPr>
        <w:pStyle w:val="podpissedlak"/>
      </w:pPr>
      <w:r w:rsidRPr="00436ABE">
        <w:lastRenderedPageBreak/>
        <w:t>Wykres 1. Minimalne wynagrodzenie w państwach UE w 2018 roku (w EUR brutto)</w:t>
      </w:r>
    </w:p>
    <w:p w:rsidR="00BA68DF" w:rsidRDefault="00BA68DF" w:rsidP="00BA68DF">
      <w:pPr>
        <w:pStyle w:val="podtytusedlak"/>
      </w:pPr>
      <w:r>
        <w:rPr>
          <w:noProof/>
          <w:lang w:eastAsia="pl-PL"/>
        </w:rPr>
        <w:drawing>
          <wp:inline distT="0" distB="0" distL="0" distR="0" wp14:anchorId="3E62835E" wp14:editId="64567B99">
            <wp:extent cx="5784850" cy="4791075"/>
            <wp:effectExtent l="0" t="0" r="6350" b="0"/>
            <wp:docPr id="3" name="Wykres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A68DF" w:rsidRPr="00BA68DF" w:rsidRDefault="00BA68DF" w:rsidP="00BA68DF">
      <w:pPr>
        <w:jc w:val="center"/>
        <w:rPr>
          <w:sz w:val="18"/>
          <w:szCs w:val="18"/>
        </w:rPr>
      </w:pPr>
      <w:r w:rsidRPr="00BA68DF">
        <w:rPr>
          <w:sz w:val="18"/>
          <w:szCs w:val="18"/>
        </w:rPr>
        <w:t>Źródło: Eurostat</w:t>
      </w:r>
    </w:p>
    <w:p w:rsidR="00BA68DF" w:rsidRDefault="00BA68DF" w:rsidP="00BA68DF">
      <w:pPr>
        <w:pStyle w:val="tekstsedalk"/>
      </w:pPr>
    </w:p>
    <w:p w:rsidR="00BA68DF" w:rsidRDefault="00BA68DF" w:rsidP="00BA68DF">
      <w:pPr>
        <w:pStyle w:val="podtytusedlak"/>
      </w:pPr>
    </w:p>
    <w:p w:rsidR="00BA68DF" w:rsidRDefault="00BA68DF" w:rsidP="00BA68DF">
      <w:pPr>
        <w:pStyle w:val="podtytusedlak"/>
      </w:pPr>
      <w:r w:rsidRPr="00AD12F5">
        <w:t>Płaca minimalna według PPS</w:t>
      </w:r>
    </w:p>
    <w:p w:rsidR="00BA68DF" w:rsidRDefault="00BA68DF" w:rsidP="00BA68DF">
      <w:pPr>
        <w:pStyle w:val="tekstsedalk"/>
      </w:pPr>
      <w:r>
        <w:t>Rozbieżności</w:t>
      </w:r>
      <w:r w:rsidRPr="00AD12F5">
        <w:t xml:space="preserve"> między państwami pod względem wysokości płacy minimalnej </w:t>
      </w:r>
      <w:r>
        <w:t>stają się</w:t>
      </w:r>
      <w:r w:rsidRPr="00AD12F5">
        <w:t xml:space="preserve"> znacznie mniejsze po uwzględnieniu różnic w poziomie cen</w:t>
      </w:r>
      <w:r>
        <w:t>.</w:t>
      </w:r>
      <w:r w:rsidRPr="00AD12F5">
        <w:t xml:space="preserve"> </w:t>
      </w:r>
      <w:r>
        <w:t xml:space="preserve">Według </w:t>
      </w:r>
      <w:r w:rsidRPr="00776EEC">
        <w:t>parytetu siły nabywczej, Polska zajmuje 11</w:t>
      </w:r>
      <w:r>
        <w:t>.</w:t>
      </w:r>
      <w:r w:rsidRPr="00776EEC">
        <w:t xml:space="preserve"> pozycję </w:t>
      </w:r>
      <w:r>
        <w:t>wśród krajów</w:t>
      </w:r>
      <w:r w:rsidRPr="00776EEC">
        <w:t xml:space="preserve"> Unii Europejskiej pod względem wartości płacy minimalnej.</w:t>
      </w:r>
      <w:r>
        <w:t xml:space="preserve"> W zestawieniu tym znacznie zmniejsza również dystans do lidera – płaca minimalna wg PPS w Luksemburgu jest już jedynie 1,8 razy wyższa od tej w Polsce.</w:t>
      </w:r>
    </w:p>
    <w:p w:rsidR="00BA68DF" w:rsidRDefault="00BA68DF" w:rsidP="00BA68DF">
      <w:pPr>
        <w:pStyle w:val="tekstsedalk"/>
      </w:pPr>
    </w:p>
    <w:p w:rsidR="00BA68DF" w:rsidRDefault="00BA68DF" w:rsidP="00BA68DF">
      <w:pPr>
        <w:pStyle w:val="podpissedlak"/>
      </w:pPr>
      <w:r w:rsidRPr="00643AED">
        <w:lastRenderedPageBreak/>
        <w:t xml:space="preserve">Wykres </w:t>
      </w:r>
      <w:r>
        <w:t>2</w:t>
      </w:r>
      <w:r w:rsidRPr="00643AED">
        <w:t xml:space="preserve">. </w:t>
      </w:r>
      <w:r w:rsidRPr="00436ABE">
        <w:t xml:space="preserve">Minimalne wynagrodzenie w państwach UE w 2018 roku </w:t>
      </w:r>
      <w:r w:rsidRPr="00643AED">
        <w:t>(EUR PPS)*</w:t>
      </w:r>
      <w:r w:rsidRPr="00643AED">
        <w:rPr>
          <w:noProof/>
          <w:lang w:eastAsia="pl-PL"/>
        </w:rPr>
        <w:drawing>
          <wp:inline distT="0" distB="0" distL="0" distR="0" wp14:anchorId="64D07D3D" wp14:editId="2D617324">
            <wp:extent cx="5882054" cy="5319346"/>
            <wp:effectExtent l="0" t="0" r="4445" b="0"/>
            <wp:docPr id="4" name="Wykres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A68DF" w:rsidRPr="00BA68DF" w:rsidRDefault="00BA68DF" w:rsidP="00BA68DF">
      <w:pPr>
        <w:jc w:val="center"/>
        <w:rPr>
          <w:sz w:val="18"/>
          <w:szCs w:val="18"/>
        </w:rPr>
      </w:pPr>
      <w:r w:rsidRPr="00BA68DF">
        <w:rPr>
          <w:sz w:val="18"/>
          <w:szCs w:val="18"/>
        </w:rPr>
        <w:t>Źródło: Eurostat</w:t>
      </w:r>
    </w:p>
    <w:p w:rsidR="00BA68DF" w:rsidRDefault="00BA68DF" w:rsidP="00BA68DF">
      <w:pPr>
        <w:pStyle w:val="podtytusedlak"/>
      </w:pPr>
    </w:p>
    <w:p w:rsidR="00BA68DF" w:rsidRDefault="00BA68DF" w:rsidP="00BA68DF">
      <w:pPr>
        <w:pStyle w:val="podtytusedlak"/>
      </w:pPr>
    </w:p>
    <w:p w:rsidR="00BA68DF" w:rsidRDefault="00BA68DF" w:rsidP="00BA68DF">
      <w:pPr>
        <w:pStyle w:val="podtytusedlak"/>
      </w:pPr>
      <w:r>
        <w:t>Płaca minimalna a PKB</w:t>
      </w:r>
    </w:p>
    <w:p w:rsidR="00BA68DF" w:rsidRDefault="00BA68DF" w:rsidP="00BA68DF">
      <w:pPr>
        <w:pStyle w:val="tekstsedalk"/>
      </w:pPr>
      <w:r>
        <w:t>Poziom rozwoju gospodarczego jest jednym ze wskaźników makroekonomicznych mających wpływ na kształt płacy minimalnej. W 2016 roku Polska zajmowała 14. miejsce w UE pod względem wynagrodzenia minimalnego, a 16. pod względem poziomu PKB na mieszkańca (wyrażonego  w PPS). Cztery kraje o wyższym PKB na mieszkańca mają niższe wynagrodzenie minimalne niż w Polsce. Są to Czechy, Estonia, Litwa i Słowacja. Oznacza to, że nasz kraj</w:t>
      </w:r>
      <w:r w:rsidRPr="00372579">
        <w:t xml:space="preserve"> gwarant</w:t>
      </w:r>
      <w:r>
        <w:t>ował</w:t>
      </w:r>
      <w:r w:rsidRPr="00372579">
        <w:t xml:space="preserve"> najsłabiej zarabiającym większe bezpieczeństwo niż niektóre zamożniejsze gospodarki</w:t>
      </w:r>
      <w:r>
        <w:rPr>
          <w:rFonts w:ascii="Arial" w:hAnsi="Arial" w:cs="Arial"/>
          <w:color w:val="36312E"/>
          <w:sz w:val="21"/>
          <w:szCs w:val="21"/>
          <w:shd w:val="clear" w:color="auto" w:fill="FFFFFF"/>
        </w:rPr>
        <w:t>.</w:t>
      </w:r>
    </w:p>
    <w:p w:rsidR="00BA68DF" w:rsidRDefault="00BA68DF" w:rsidP="00BA68DF">
      <w:pPr>
        <w:pStyle w:val="podtytusedlak"/>
      </w:pPr>
    </w:p>
    <w:p w:rsidR="00BA68DF" w:rsidRDefault="00BA68DF" w:rsidP="00BA68DF">
      <w:pPr>
        <w:pStyle w:val="podpissedlak"/>
      </w:pPr>
      <w:r w:rsidRPr="00643AED">
        <w:lastRenderedPageBreak/>
        <w:t xml:space="preserve">Wykres </w:t>
      </w:r>
      <w:r>
        <w:t>3</w:t>
      </w:r>
      <w:r w:rsidRPr="00643AED">
        <w:t xml:space="preserve">. </w:t>
      </w:r>
      <w:r>
        <w:t xml:space="preserve">PKB na mieszkańca wyrażony w PPS </w:t>
      </w:r>
    </w:p>
    <w:p w:rsidR="00BA68DF" w:rsidRDefault="00BA68DF" w:rsidP="00BA68DF">
      <w:pPr>
        <w:pStyle w:val="podpissedlak"/>
      </w:pPr>
      <w:r>
        <w:t>w krajach UE w 2016 roku (średnia UE = 100%)</w:t>
      </w:r>
    </w:p>
    <w:p w:rsidR="00BA68DF" w:rsidRDefault="00BA68DF" w:rsidP="00BA68DF">
      <w:pPr>
        <w:pStyle w:val="podtytusedlak"/>
      </w:pPr>
      <w:r>
        <w:rPr>
          <w:noProof/>
          <w:lang w:eastAsia="pl-PL"/>
        </w:rPr>
        <w:drawing>
          <wp:inline distT="0" distB="0" distL="0" distR="0" wp14:anchorId="0E8AE7B9" wp14:editId="01E86E2A">
            <wp:extent cx="5653454" cy="5161085"/>
            <wp:effectExtent l="0" t="0" r="4445" b="1905"/>
            <wp:docPr id="8" name="Wykres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A68DF" w:rsidRPr="00BA68DF" w:rsidRDefault="00BA68DF" w:rsidP="00BA68DF">
      <w:pPr>
        <w:jc w:val="center"/>
        <w:rPr>
          <w:sz w:val="18"/>
          <w:szCs w:val="18"/>
        </w:rPr>
      </w:pPr>
      <w:r w:rsidRPr="00BA68DF">
        <w:rPr>
          <w:sz w:val="18"/>
          <w:szCs w:val="18"/>
        </w:rPr>
        <w:t>Źródło: Eurostat</w:t>
      </w:r>
    </w:p>
    <w:p w:rsidR="00BA68DF" w:rsidRDefault="00BA68DF" w:rsidP="00BA68DF">
      <w:pPr>
        <w:pStyle w:val="podtytusedlak"/>
      </w:pPr>
    </w:p>
    <w:p w:rsidR="00BA68DF" w:rsidRDefault="00BA68DF" w:rsidP="00BA68DF">
      <w:pPr>
        <w:pStyle w:val="podtytusedlak"/>
      </w:pPr>
    </w:p>
    <w:p w:rsidR="00BA68DF" w:rsidRPr="00AD12F5" w:rsidRDefault="00BA68DF" w:rsidP="00BA68DF">
      <w:pPr>
        <w:pStyle w:val="podtytusedlak"/>
      </w:pPr>
      <w:r w:rsidRPr="00AD12F5">
        <w:t>Dynamika płacy minimalnej</w:t>
      </w:r>
    </w:p>
    <w:p w:rsidR="00BA68DF" w:rsidRDefault="00BA68DF" w:rsidP="00BA68DF">
      <w:pPr>
        <w:pStyle w:val="tekstsedalk"/>
      </w:pPr>
      <w:r w:rsidRPr="00776EEC">
        <w:t>W 201</w:t>
      </w:r>
      <w:r>
        <w:t>8</w:t>
      </w:r>
      <w:r w:rsidRPr="00776EEC">
        <w:t xml:space="preserve"> roku w </w:t>
      </w:r>
      <w:r>
        <w:t>zaledwie 2</w:t>
      </w:r>
      <w:r w:rsidRPr="00776EEC">
        <w:t xml:space="preserve"> </w:t>
      </w:r>
      <w:r>
        <w:t>spośród</w:t>
      </w:r>
      <w:r w:rsidRPr="00776EEC">
        <w:t xml:space="preserve"> 22 uwzględnionych w rankingu państw</w:t>
      </w:r>
      <w:r>
        <w:t>,</w:t>
      </w:r>
      <w:r w:rsidRPr="00776EEC">
        <w:t xml:space="preserve"> wynagrodzenie minimalne</w:t>
      </w:r>
      <w:r>
        <w:t xml:space="preserve"> po uwzględnieniu poziomu inflacji</w:t>
      </w:r>
      <w:r w:rsidRPr="00776EEC">
        <w:t xml:space="preserve"> </w:t>
      </w:r>
      <w:r>
        <w:t>pozostało na takim samym poziomie jak w roku poprzednim</w:t>
      </w:r>
      <w:r w:rsidRPr="00776EEC">
        <w:t>.</w:t>
      </w:r>
      <w:r>
        <w:t xml:space="preserve"> Były to Grecja i Niemcy.</w:t>
      </w:r>
      <w:r w:rsidRPr="00776EEC">
        <w:t xml:space="preserve"> </w:t>
      </w:r>
      <w:r>
        <w:t xml:space="preserve">Z kolei Rumunia jest państwem, w którym dynamika płacy minimalnej, po uwzględnieniu wskaźnika inflacji, wzrosła aż o 52%. </w:t>
      </w:r>
      <w:r w:rsidRPr="00776EEC">
        <w:t xml:space="preserve">Polska należy do grupy </w:t>
      </w:r>
      <w:r>
        <w:t>20</w:t>
      </w:r>
      <w:r w:rsidRPr="00776EEC">
        <w:t xml:space="preserve"> państw, w których wartość </w:t>
      </w:r>
      <w:r>
        <w:t xml:space="preserve">realna </w:t>
      </w:r>
      <w:r w:rsidRPr="00776EEC">
        <w:t>wynagrodzenia minimalnego</w:t>
      </w:r>
      <w:r>
        <w:t>, p</w:t>
      </w:r>
      <w:r w:rsidRPr="00776EEC">
        <w:t>o uwzględnieniu wskaźnika inflacji</w:t>
      </w:r>
      <w:r>
        <w:t>,</w:t>
      </w:r>
      <w:r w:rsidRPr="00776EEC">
        <w:t xml:space="preserve"> wzrosła</w:t>
      </w:r>
      <w:r>
        <w:t xml:space="preserve">. Wzrost ten wyniósł </w:t>
      </w:r>
      <w:r w:rsidRPr="00776EEC">
        <w:t>5%.</w:t>
      </w:r>
    </w:p>
    <w:p w:rsidR="00BA68DF" w:rsidRDefault="00BA68DF" w:rsidP="00BA68DF">
      <w:pPr>
        <w:pStyle w:val="tekstsedalk"/>
      </w:pPr>
    </w:p>
    <w:p w:rsidR="00BA68DF" w:rsidRDefault="00BA68DF" w:rsidP="00BA68DF">
      <w:pPr>
        <w:pStyle w:val="tekstsedalk"/>
      </w:pPr>
    </w:p>
    <w:p w:rsidR="00BA68DF" w:rsidRDefault="00BA68DF" w:rsidP="00BA68DF">
      <w:pPr>
        <w:pStyle w:val="podpissedlak"/>
      </w:pPr>
      <w:r w:rsidRPr="00643AED">
        <w:lastRenderedPageBreak/>
        <w:t xml:space="preserve">Wykres </w:t>
      </w:r>
      <w:r>
        <w:t>4</w:t>
      </w:r>
      <w:r w:rsidRPr="00643AED">
        <w:t xml:space="preserve">. </w:t>
      </w:r>
      <w:r>
        <w:t xml:space="preserve">Dynamika wynagrodzenia minimalnego w krajach UE </w:t>
      </w:r>
    </w:p>
    <w:p w:rsidR="00BA68DF" w:rsidRDefault="00BA68DF" w:rsidP="00BA68DF">
      <w:pPr>
        <w:pStyle w:val="podpissedlak"/>
      </w:pPr>
      <w:r>
        <w:t>w latach 2017/2018 według PPS</w:t>
      </w:r>
    </w:p>
    <w:p w:rsidR="00BA68DF" w:rsidRDefault="00BA68DF" w:rsidP="00BA68DF">
      <w:pPr>
        <w:pStyle w:val="tekstsedalk"/>
      </w:pPr>
    </w:p>
    <w:p w:rsidR="00BA68DF" w:rsidRDefault="00BA68DF" w:rsidP="00BA68DF">
      <w:pPr>
        <w:pStyle w:val="tekstsedalk"/>
      </w:pPr>
      <w:r>
        <w:rPr>
          <w:noProof/>
          <w:lang w:eastAsia="pl-PL"/>
        </w:rPr>
        <w:drawing>
          <wp:inline distT="0" distB="0" distL="0" distR="0" wp14:anchorId="4CD6FF73" wp14:editId="6F12AF7A">
            <wp:extent cx="5776547" cy="4422531"/>
            <wp:effectExtent l="0" t="0" r="0" b="0"/>
            <wp:docPr id="11" name="Wykres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BA68DF" w:rsidRPr="00BA68DF" w:rsidRDefault="00BA68DF" w:rsidP="00BA68DF">
      <w:pPr>
        <w:jc w:val="center"/>
        <w:rPr>
          <w:sz w:val="18"/>
          <w:szCs w:val="18"/>
        </w:rPr>
      </w:pPr>
      <w:r w:rsidRPr="00BA68DF">
        <w:rPr>
          <w:sz w:val="18"/>
          <w:szCs w:val="18"/>
        </w:rPr>
        <w:t xml:space="preserve">Źródło: Opracowanie Sedlak </w:t>
      </w:r>
      <w:r w:rsidRPr="00E6691F">
        <w:rPr>
          <w:sz w:val="14"/>
          <w:szCs w:val="14"/>
        </w:rPr>
        <w:t>&amp;</w:t>
      </w:r>
      <w:r w:rsidRPr="00BA68DF">
        <w:rPr>
          <w:sz w:val="18"/>
          <w:szCs w:val="18"/>
        </w:rPr>
        <w:t xml:space="preserve"> Sedlak na podstawie Eurostatu</w:t>
      </w:r>
    </w:p>
    <w:p w:rsidR="00BA68DF" w:rsidRDefault="00BA68DF" w:rsidP="00BA68DF">
      <w:pPr>
        <w:pStyle w:val="tekstsedalk"/>
      </w:pPr>
    </w:p>
    <w:p w:rsidR="00BA68DF" w:rsidRDefault="00BA68DF" w:rsidP="00BA68DF">
      <w:pPr>
        <w:spacing w:line="276" w:lineRule="auto"/>
        <w:jc w:val="both"/>
        <w:rPr>
          <w:szCs w:val="26"/>
        </w:rPr>
      </w:pPr>
    </w:p>
    <w:p w:rsidR="00BA68DF" w:rsidRPr="005361D3" w:rsidRDefault="00BA68DF" w:rsidP="00BA68DF">
      <w:pPr>
        <w:spacing w:line="276" w:lineRule="auto"/>
        <w:jc w:val="both"/>
        <w:rPr>
          <w:szCs w:val="26"/>
        </w:rPr>
      </w:pPr>
      <w:r>
        <w:rPr>
          <w:szCs w:val="26"/>
        </w:rPr>
        <w:t>W</w:t>
      </w:r>
      <w:r w:rsidRPr="005361D3">
        <w:rPr>
          <w:szCs w:val="26"/>
        </w:rPr>
        <w:t xml:space="preserve"> okresie 2015-2018 płaca minimalna w wartościach </w:t>
      </w:r>
      <w:r>
        <w:rPr>
          <w:szCs w:val="26"/>
        </w:rPr>
        <w:t>nominalnych</w:t>
      </w:r>
      <w:r w:rsidRPr="005361D3">
        <w:rPr>
          <w:szCs w:val="26"/>
        </w:rPr>
        <w:t xml:space="preserve"> najszybciej </w:t>
      </w:r>
      <w:r>
        <w:rPr>
          <w:szCs w:val="26"/>
        </w:rPr>
        <w:t>wz</w:t>
      </w:r>
      <w:r w:rsidRPr="005361D3">
        <w:rPr>
          <w:szCs w:val="26"/>
        </w:rPr>
        <w:t>rosła w Rumunii (o 190 EUR). Dynamika wzrostu płacy minimalnej w tym kraju również była najwyższa i w omawianym okresie wyniosła blisko 88%. Kolejno pod względem dynamiki wzrostu znalazły się Czechy (44%) oraz Bułgari</w:t>
      </w:r>
      <w:r>
        <w:rPr>
          <w:szCs w:val="26"/>
        </w:rPr>
        <w:t>a</w:t>
      </w:r>
      <w:r w:rsidRPr="005361D3">
        <w:rPr>
          <w:szCs w:val="26"/>
        </w:rPr>
        <w:t xml:space="preserve"> (42%). Polska w tym zestawieniu </w:t>
      </w:r>
      <w:r>
        <w:rPr>
          <w:szCs w:val="26"/>
        </w:rPr>
        <w:t>uplasowała</w:t>
      </w:r>
      <w:r w:rsidRPr="005361D3">
        <w:rPr>
          <w:szCs w:val="26"/>
        </w:rPr>
        <w:t xml:space="preserve"> się na 8. miejscu. Na końcu zestawienia znalazły się Grecja (płaca minimalna utrzymuje się na tym samym poziomie), Wielka Brytania (wzrost o 2%) i Francja (wzrost o 3%). </w:t>
      </w:r>
    </w:p>
    <w:p w:rsidR="00BA68DF" w:rsidRDefault="00BA68DF" w:rsidP="00BA68DF">
      <w:pPr>
        <w:spacing w:line="276" w:lineRule="auto"/>
        <w:jc w:val="both"/>
        <w:rPr>
          <w:szCs w:val="26"/>
        </w:rPr>
      </w:pPr>
    </w:p>
    <w:p w:rsidR="00BA68DF" w:rsidRDefault="00BA68DF" w:rsidP="00BA68DF">
      <w:pPr>
        <w:spacing w:line="276" w:lineRule="auto"/>
        <w:jc w:val="both"/>
        <w:rPr>
          <w:szCs w:val="26"/>
        </w:rPr>
      </w:pPr>
    </w:p>
    <w:p w:rsidR="00BA68DF" w:rsidRDefault="00BA68DF" w:rsidP="00BA68DF">
      <w:pPr>
        <w:spacing w:line="276" w:lineRule="auto"/>
        <w:jc w:val="both"/>
        <w:rPr>
          <w:szCs w:val="26"/>
        </w:rPr>
      </w:pPr>
    </w:p>
    <w:p w:rsidR="00BA68DF" w:rsidRDefault="00BA68DF" w:rsidP="00BA68DF">
      <w:pPr>
        <w:spacing w:line="276" w:lineRule="auto"/>
        <w:jc w:val="both"/>
        <w:rPr>
          <w:szCs w:val="26"/>
        </w:rPr>
      </w:pPr>
    </w:p>
    <w:p w:rsidR="00BA68DF" w:rsidRPr="005361D3" w:rsidRDefault="00BA68DF" w:rsidP="00BA68DF">
      <w:pPr>
        <w:spacing w:line="276" w:lineRule="auto"/>
        <w:jc w:val="both"/>
        <w:rPr>
          <w:szCs w:val="26"/>
        </w:rPr>
      </w:pPr>
    </w:p>
    <w:p w:rsidR="00BA68DF" w:rsidRDefault="00BA68DF" w:rsidP="00BA68DF">
      <w:pPr>
        <w:spacing w:line="276" w:lineRule="auto"/>
        <w:contextualSpacing/>
        <w:jc w:val="center"/>
        <w:rPr>
          <w:rFonts w:ascii="Calibri" w:eastAsia="Calibri" w:hAnsi="Calibri"/>
          <w:b/>
          <w:color w:val="002060"/>
        </w:rPr>
      </w:pPr>
      <w:r w:rsidRPr="005361D3">
        <w:rPr>
          <w:rFonts w:ascii="Calibri" w:eastAsia="Calibri" w:hAnsi="Calibri"/>
          <w:b/>
          <w:color w:val="002060"/>
        </w:rPr>
        <w:lastRenderedPageBreak/>
        <w:t>Tabela 1. Dynamika</w:t>
      </w:r>
      <w:r>
        <w:rPr>
          <w:rFonts w:ascii="Calibri" w:eastAsia="Calibri" w:hAnsi="Calibri"/>
          <w:b/>
          <w:color w:val="002060"/>
        </w:rPr>
        <w:t xml:space="preserve"> wzrostu</w:t>
      </w:r>
      <w:r w:rsidRPr="005361D3">
        <w:rPr>
          <w:rFonts w:ascii="Calibri" w:eastAsia="Calibri" w:hAnsi="Calibri"/>
          <w:b/>
          <w:color w:val="002060"/>
        </w:rPr>
        <w:t xml:space="preserve"> minimalnego wynagrodzeni</w:t>
      </w:r>
      <w:r>
        <w:rPr>
          <w:rFonts w:ascii="Calibri" w:eastAsia="Calibri" w:hAnsi="Calibri"/>
          <w:b/>
          <w:color w:val="002060"/>
        </w:rPr>
        <w:t>a</w:t>
      </w:r>
      <w:r w:rsidRPr="005361D3">
        <w:rPr>
          <w:rFonts w:ascii="Calibri" w:eastAsia="Calibri" w:hAnsi="Calibri"/>
          <w:b/>
          <w:color w:val="002060"/>
        </w:rPr>
        <w:t xml:space="preserve"> </w:t>
      </w:r>
    </w:p>
    <w:p w:rsidR="00BA68DF" w:rsidRPr="005361D3" w:rsidRDefault="00BA68DF" w:rsidP="00BA68DF">
      <w:pPr>
        <w:spacing w:line="276" w:lineRule="auto"/>
        <w:contextualSpacing/>
        <w:jc w:val="center"/>
        <w:rPr>
          <w:rFonts w:ascii="Calibri" w:eastAsia="Calibri" w:hAnsi="Calibri"/>
          <w:b/>
          <w:color w:val="002060"/>
        </w:rPr>
      </w:pPr>
      <w:r w:rsidRPr="005361D3">
        <w:rPr>
          <w:rFonts w:ascii="Calibri" w:eastAsia="Calibri" w:hAnsi="Calibri"/>
          <w:b/>
          <w:color w:val="002060"/>
        </w:rPr>
        <w:t>w państwach UE w latach 2015-2018 (w EUR brutto)</w:t>
      </w:r>
    </w:p>
    <w:tbl>
      <w:tblPr>
        <w:tblW w:w="87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602"/>
        <w:gridCol w:w="2154"/>
        <w:gridCol w:w="2154"/>
      </w:tblGrid>
      <w:tr w:rsidR="00BA68DF" w:rsidRPr="005361D3" w:rsidTr="005C7C4E">
        <w:trPr>
          <w:trHeight w:val="622"/>
        </w:trPr>
        <w:tc>
          <w:tcPr>
            <w:tcW w:w="2835" w:type="dxa"/>
            <w:tcBorders>
              <w:top w:val="single" w:sz="8" w:space="0" w:color="FFDEBF"/>
              <w:left w:val="nil"/>
              <w:bottom w:val="single" w:sz="8" w:space="0" w:color="FFDEBF"/>
              <w:right w:val="single" w:sz="8" w:space="0" w:color="FFFFFF"/>
            </w:tcBorders>
            <w:shd w:val="clear" w:color="000000" w:fill="FFF2E9"/>
            <w:vAlign w:val="center"/>
            <w:hideMark/>
          </w:tcPr>
          <w:p w:rsidR="00BA68DF" w:rsidRPr="005361D3" w:rsidRDefault="00BA68DF" w:rsidP="005C7C4E">
            <w:pPr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</w:pPr>
          </w:p>
        </w:tc>
        <w:tc>
          <w:tcPr>
            <w:tcW w:w="1602" w:type="dxa"/>
            <w:tcBorders>
              <w:top w:val="single" w:sz="8" w:space="0" w:color="FFDEBF"/>
              <w:left w:val="nil"/>
              <w:bottom w:val="single" w:sz="8" w:space="0" w:color="FFDEBF"/>
              <w:right w:val="single" w:sz="8" w:space="0" w:color="FFFFFF"/>
            </w:tcBorders>
            <w:shd w:val="clear" w:color="000000" w:fill="FFF2E9"/>
            <w:vAlign w:val="center"/>
            <w:hideMark/>
          </w:tcPr>
          <w:p w:rsidR="00BA68DF" w:rsidRPr="005361D3" w:rsidRDefault="00BA68DF" w:rsidP="005C7C4E">
            <w:pPr>
              <w:jc w:val="center"/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</w:pPr>
            <w:r w:rsidRPr="005361D3"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  <w:t>2015</w:t>
            </w:r>
          </w:p>
        </w:tc>
        <w:tc>
          <w:tcPr>
            <w:tcW w:w="2154" w:type="dxa"/>
            <w:tcBorders>
              <w:top w:val="single" w:sz="8" w:space="0" w:color="FFDEBF"/>
              <w:left w:val="nil"/>
              <w:bottom w:val="single" w:sz="8" w:space="0" w:color="FFDEBF"/>
              <w:right w:val="single" w:sz="8" w:space="0" w:color="FFFFFF"/>
            </w:tcBorders>
            <w:shd w:val="clear" w:color="000000" w:fill="FFF2E9"/>
            <w:vAlign w:val="center"/>
            <w:hideMark/>
          </w:tcPr>
          <w:p w:rsidR="00BA68DF" w:rsidRPr="005361D3" w:rsidRDefault="00BA68DF" w:rsidP="005C7C4E">
            <w:pPr>
              <w:jc w:val="center"/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</w:pPr>
            <w:r w:rsidRPr="005361D3"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  <w:t>2018</w:t>
            </w:r>
          </w:p>
        </w:tc>
        <w:tc>
          <w:tcPr>
            <w:tcW w:w="2154" w:type="dxa"/>
            <w:tcBorders>
              <w:top w:val="single" w:sz="8" w:space="0" w:color="FFDEBF"/>
              <w:left w:val="nil"/>
              <w:bottom w:val="single" w:sz="8" w:space="0" w:color="FFDEBF"/>
              <w:right w:val="single" w:sz="8" w:space="0" w:color="FFFFFF"/>
            </w:tcBorders>
            <w:shd w:val="clear" w:color="000000" w:fill="FFF2E9"/>
            <w:vAlign w:val="center"/>
            <w:hideMark/>
          </w:tcPr>
          <w:p w:rsidR="00BA68DF" w:rsidRPr="005361D3" w:rsidRDefault="00BA68DF" w:rsidP="005C7C4E">
            <w:pPr>
              <w:jc w:val="center"/>
              <w:rPr>
                <w:rFonts w:ascii="Calibri" w:hAnsi="Calibri" w:cs="Calibri"/>
                <w:b/>
                <w:bCs/>
                <w:color w:val="FF7900"/>
                <w:sz w:val="28"/>
                <w:szCs w:val="28"/>
                <w:lang w:eastAsia="pl-PL"/>
              </w:rPr>
            </w:pPr>
            <w:r w:rsidRPr="005361D3">
              <w:rPr>
                <w:rFonts w:ascii="Calibri" w:hAnsi="Calibri" w:cs="Calibri"/>
                <w:b/>
                <w:bCs/>
                <w:color w:val="FF7900"/>
                <w:sz w:val="28"/>
                <w:szCs w:val="28"/>
                <w:lang w:eastAsia="pl-PL"/>
              </w:rPr>
              <w:t>dynamika</w:t>
            </w:r>
          </w:p>
        </w:tc>
      </w:tr>
      <w:tr w:rsidR="00BA68DF" w:rsidRPr="005361D3" w:rsidTr="005C7C4E">
        <w:trPr>
          <w:trHeight w:val="508"/>
        </w:trPr>
        <w:tc>
          <w:tcPr>
            <w:tcW w:w="2835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BA68DF" w:rsidRPr="005361D3" w:rsidRDefault="00BA68DF" w:rsidP="005C7C4E">
            <w:pPr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</w:pPr>
            <w:r w:rsidRPr="005361D3"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  <w:t>Rumunia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BA68DF" w:rsidRPr="005361D3" w:rsidRDefault="00BA68DF" w:rsidP="005C7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61D3"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  <w:t>217,50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BA68DF" w:rsidRPr="005361D3" w:rsidRDefault="00BA68DF" w:rsidP="005C7C4E">
            <w:pPr>
              <w:jc w:val="center"/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</w:pPr>
            <w:r w:rsidRPr="005361D3"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  <w:t>407,86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BA68DF" w:rsidRPr="005361D3" w:rsidRDefault="00BA68DF" w:rsidP="005C7C4E">
            <w:pPr>
              <w:jc w:val="center"/>
              <w:rPr>
                <w:rFonts w:ascii="Calibri" w:hAnsi="Calibri" w:cs="Calibri"/>
                <w:b/>
                <w:bCs/>
                <w:color w:val="FF7900"/>
                <w:sz w:val="28"/>
                <w:szCs w:val="28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FF7900"/>
                <w:sz w:val="28"/>
                <w:szCs w:val="28"/>
                <w:lang w:eastAsia="pl-PL"/>
              </w:rPr>
              <w:t>88</w:t>
            </w:r>
            <w:r w:rsidRPr="005361D3">
              <w:rPr>
                <w:rFonts w:ascii="Calibri" w:hAnsi="Calibri" w:cs="Calibri"/>
                <w:b/>
                <w:bCs/>
                <w:color w:val="FF7900"/>
                <w:sz w:val="28"/>
                <w:szCs w:val="28"/>
                <w:lang w:eastAsia="pl-PL"/>
              </w:rPr>
              <w:t>%</w:t>
            </w:r>
          </w:p>
        </w:tc>
      </w:tr>
      <w:tr w:rsidR="00BA68DF" w:rsidRPr="005361D3" w:rsidTr="005C7C4E">
        <w:trPr>
          <w:trHeight w:val="508"/>
        </w:trPr>
        <w:tc>
          <w:tcPr>
            <w:tcW w:w="2835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BA68DF" w:rsidRPr="005361D3" w:rsidRDefault="00BA68DF" w:rsidP="005C7C4E">
            <w:pPr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</w:pPr>
            <w:r w:rsidRPr="005361D3"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  <w:t>Czechy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BA68DF" w:rsidRPr="005361D3" w:rsidRDefault="00BA68DF" w:rsidP="005C7C4E">
            <w:pPr>
              <w:jc w:val="center"/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</w:pPr>
            <w:r w:rsidRPr="005361D3"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  <w:t>331,71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BA68DF" w:rsidRPr="005361D3" w:rsidRDefault="00BA68DF" w:rsidP="005C7C4E">
            <w:pPr>
              <w:jc w:val="center"/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</w:pPr>
            <w:r w:rsidRPr="005361D3"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  <w:t>477,78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BA68DF" w:rsidRPr="005361D3" w:rsidRDefault="00BA68DF" w:rsidP="005C7C4E">
            <w:pPr>
              <w:jc w:val="center"/>
              <w:rPr>
                <w:rFonts w:ascii="Calibri" w:hAnsi="Calibri" w:cs="Calibri"/>
                <w:b/>
                <w:bCs/>
                <w:color w:val="FF7900"/>
                <w:sz w:val="28"/>
                <w:szCs w:val="28"/>
                <w:lang w:eastAsia="pl-PL"/>
              </w:rPr>
            </w:pPr>
            <w:r w:rsidRPr="005361D3">
              <w:rPr>
                <w:rFonts w:ascii="Calibri" w:hAnsi="Calibri" w:cs="Calibri"/>
                <w:b/>
                <w:bCs/>
                <w:color w:val="FF7900"/>
                <w:sz w:val="28"/>
                <w:szCs w:val="28"/>
                <w:lang w:eastAsia="pl-PL"/>
              </w:rPr>
              <w:t>44%</w:t>
            </w:r>
          </w:p>
        </w:tc>
      </w:tr>
      <w:tr w:rsidR="00BA68DF" w:rsidRPr="005361D3" w:rsidTr="005C7C4E">
        <w:trPr>
          <w:trHeight w:val="508"/>
        </w:trPr>
        <w:tc>
          <w:tcPr>
            <w:tcW w:w="2835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BA68DF" w:rsidRPr="005361D3" w:rsidRDefault="00BA68DF" w:rsidP="005C7C4E">
            <w:pPr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</w:pPr>
            <w:r w:rsidRPr="005361D3"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  <w:t>Bułgaria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BA68DF" w:rsidRPr="005361D3" w:rsidRDefault="00BA68DF" w:rsidP="005C7C4E">
            <w:pPr>
              <w:jc w:val="center"/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</w:pPr>
            <w:r w:rsidRPr="005361D3"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  <w:t>184,07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BA68DF" w:rsidRPr="005361D3" w:rsidRDefault="00BA68DF" w:rsidP="005C7C4E">
            <w:pPr>
              <w:jc w:val="center"/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</w:pPr>
            <w:r w:rsidRPr="005361D3"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  <w:t>260,76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BA68DF" w:rsidRPr="005361D3" w:rsidRDefault="00BA68DF" w:rsidP="005C7C4E">
            <w:pPr>
              <w:jc w:val="center"/>
              <w:rPr>
                <w:rFonts w:ascii="Calibri" w:hAnsi="Calibri" w:cs="Calibri"/>
                <w:b/>
                <w:bCs/>
                <w:color w:val="FF7900"/>
                <w:sz w:val="28"/>
                <w:szCs w:val="28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FF7900"/>
                <w:sz w:val="28"/>
                <w:szCs w:val="28"/>
                <w:lang w:eastAsia="pl-PL"/>
              </w:rPr>
              <w:t>42</w:t>
            </w:r>
            <w:r w:rsidRPr="005361D3">
              <w:rPr>
                <w:rFonts w:ascii="Calibri" w:hAnsi="Calibri" w:cs="Calibri"/>
                <w:b/>
                <w:bCs/>
                <w:color w:val="FF7900"/>
                <w:sz w:val="28"/>
                <w:szCs w:val="28"/>
                <w:lang w:eastAsia="pl-PL"/>
              </w:rPr>
              <w:t>%</w:t>
            </w:r>
          </w:p>
        </w:tc>
      </w:tr>
      <w:tr w:rsidR="00BA68DF" w:rsidRPr="005361D3" w:rsidTr="005C7C4E">
        <w:trPr>
          <w:trHeight w:val="508"/>
        </w:trPr>
        <w:tc>
          <w:tcPr>
            <w:tcW w:w="2835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BA68DF" w:rsidRPr="005361D3" w:rsidRDefault="00BA68DF" w:rsidP="005C7C4E">
            <w:pPr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</w:pPr>
            <w:r w:rsidRPr="005361D3"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  <w:t>Węgry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BA68DF" w:rsidRPr="005361D3" w:rsidRDefault="00BA68DF" w:rsidP="005C7C4E">
            <w:pPr>
              <w:jc w:val="center"/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</w:pPr>
            <w:r w:rsidRPr="005361D3"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  <w:t>332,76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BA68DF" w:rsidRPr="005361D3" w:rsidRDefault="00BA68DF" w:rsidP="005C7C4E">
            <w:pPr>
              <w:jc w:val="center"/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</w:pPr>
            <w:r w:rsidRPr="005361D3"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  <w:t>444,69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BA68DF" w:rsidRPr="005361D3" w:rsidRDefault="00BA68DF" w:rsidP="005C7C4E">
            <w:pPr>
              <w:jc w:val="center"/>
              <w:rPr>
                <w:rFonts w:ascii="Calibri" w:hAnsi="Calibri" w:cs="Calibri"/>
                <w:b/>
                <w:bCs/>
                <w:color w:val="FF7900"/>
                <w:sz w:val="28"/>
                <w:szCs w:val="28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FF7900"/>
                <w:sz w:val="28"/>
                <w:szCs w:val="28"/>
                <w:lang w:eastAsia="pl-PL"/>
              </w:rPr>
              <w:t>34</w:t>
            </w:r>
            <w:r w:rsidRPr="005361D3">
              <w:rPr>
                <w:rFonts w:ascii="Calibri" w:hAnsi="Calibri" w:cs="Calibri"/>
                <w:b/>
                <w:bCs/>
                <w:color w:val="FF7900"/>
                <w:sz w:val="28"/>
                <w:szCs w:val="28"/>
                <w:lang w:eastAsia="pl-PL"/>
              </w:rPr>
              <w:t>%</w:t>
            </w:r>
          </w:p>
        </w:tc>
      </w:tr>
      <w:tr w:rsidR="00BA68DF" w:rsidRPr="005361D3" w:rsidTr="005C7C4E">
        <w:trPr>
          <w:trHeight w:val="508"/>
        </w:trPr>
        <w:tc>
          <w:tcPr>
            <w:tcW w:w="2835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BA68DF" w:rsidRPr="005361D3" w:rsidRDefault="00BA68DF" w:rsidP="005C7C4E">
            <w:pPr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</w:pPr>
            <w:r w:rsidRPr="005361D3"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  <w:t>Litwa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BA68DF" w:rsidRPr="005361D3" w:rsidRDefault="00BA68DF" w:rsidP="005C7C4E">
            <w:pPr>
              <w:jc w:val="center"/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</w:pPr>
            <w:r w:rsidRPr="005361D3"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  <w:t>300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BA68DF" w:rsidRPr="005361D3" w:rsidRDefault="00BA68DF" w:rsidP="005C7C4E">
            <w:pPr>
              <w:jc w:val="center"/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</w:pPr>
            <w:r w:rsidRPr="005361D3"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  <w:t>400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BA68DF" w:rsidRPr="005361D3" w:rsidRDefault="00BA68DF" w:rsidP="005C7C4E">
            <w:pPr>
              <w:jc w:val="center"/>
              <w:rPr>
                <w:rFonts w:ascii="Calibri" w:hAnsi="Calibri" w:cs="Calibri"/>
                <w:b/>
                <w:bCs/>
                <w:color w:val="FF7900"/>
                <w:sz w:val="28"/>
                <w:szCs w:val="28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FF7900"/>
                <w:sz w:val="28"/>
                <w:szCs w:val="28"/>
                <w:lang w:eastAsia="pl-PL"/>
              </w:rPr>
              <w:t>34</w:t>
            </w:r>
            <w:r w:rsidRPr="005361D3">
              <w:rPr>
                <w:rFonts w:ascii="Calibri" w:hAnsi="Calibri" w:cs="Calibri"/>
                <w:b/>
                <w:bCs/>
                <w:color w:val="FF7900"/>
                <w:sz w:val="28"/>
                <w:szCs w:val="28"/>
                <w:lang w:eastAsia="pl-PL"/>
              </w:rPr>
              <w:t>%</w:t>
            </w:r>
          </w:p>
        </w:tc>
      </w:tr>
      <w:tr w:rsidR="00BA68DF" w:rsidRPr="005361D3" w:rsidTr="005C7C4E">
        <w:trPr>
          <w:trHeight w:val="508"/>
        </w:trPr>
        <w:tc>
          <w:tcPr>
            <w:tcW w:w="2835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BA68DF" w:rsidRPr="005361D3" w:rsidRDefault="00BA68DF" w:rsidP="005C7C4E">
            <w:pPr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</w:pPr>
            <w:r w:rsidRPr="005361D3"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  <w:t>Estonia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BA68DF" w:rsidRPr="005361D3" w:rsidRDefault="00BA68DF" w:rsidP="005C7C4E">
            <w:pPr>
              <w:jc w:val="center"/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</w:pPr>
            <w:r w:rsidRPr="005361D3"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  <w:t>390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BA68DF" w:rsidRPr="005361D3" w:rsidRDefault="00BA68DF" w:rsidP="005C7C4E">
            <w:pPr>
              <w:jc w:val="center"/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</w:pPr>
            <w:r w:rsidRPr="005361D3"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  <w:t>500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BA68DF" w:rsidRPr="005361D3" w:rsidRDefault="00BA68DF" w:rsidP="005C7C4E">
            <w:pPr>
              <w:jc w:val="center"/>
              <w:rPr>
                <w:rFonts w:ascii="Calibri" w:hAnsi="Calibri" w:cs="Calibri"/>
                <w:b/>
                <w:bCs/>
                <w:color w:val="FF7900"/>
                <w:sz w:val="28"/>
                <w:szCs w:val="28"/>
                <w:lang w:eastAsia="pl-PL"/>
              </w:rPr>
            </w:pPr>
            <w:r w:rsidRPr="005361D3">
              <w:rPr>
                <w:rFonts w:ascii="Calibri" w:hAnsi="Calibri" w:cs="Calibri"/>
                <w:b/>
                <w:bCs/>
                <w:color w:val="FF7900"/>
                <w:sz w:val="28"/>
                <w:szCs w:val="28"/>
                <w:lang w:eastAsia="pl-PL"/>
              </w:rPr>
              <w:t>28%</w:t>
            </w:r>
          </w:p>
        </w:tc>
      </w:tr>
      <w:tr w:rsidR="00BA68DF" w:rsidRPr="005361D3" w:rsidTr="005C7C4E">
        <w:trPr>
          <w:trHeight w:val="508"/>
        </w:trPr>
        <w:tc>
          <w:tcPr>
            <w:tcW w:w="2835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BA68DF" w:rsidRPr="005361D3" w:rsidRDefault="00BA68DF" w:rsidP="005C7C4E">
            <w:pPr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</w:pPr>
            <w:r w:rsidRPr="005361D3"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  <w:t>Słowacja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BA68DF" w:rsidRPr="005361D3" w:rsidRDefault="00BA68DF" w:rsidP="005C7C4E">
            <w:pPr>
              <w:jc w:val="center"/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</w:pPr>
            <w:r w:rsidRPr="005361D3"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  <w:t>380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BA68DF" w:rsidRPr="005361D3" w:rsidRDefault="00BA68DF" w:rsidP="005C7C4E">
            <w:pPr>
              <w:jc w:val="center"/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</w:pPr>
            <w:r w:rsidRPr="005361D3"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  <w:t>480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BA68DF" w:rsidRPr="005361D3" w:rsidRDefault="00BA68DF" w:rsidP="005C7C4E">
            <w:pPr>
              <w:jc w:val="center"/>
              <w:rPr>
                <w:rFonts w:ascii="Calibri" w:hAnsi="Calibri" w:cs="Calibri"/>
                <w:b/>
                <w:bCs/>
                <w:color w:val="FF7900"/>
                <w:sz w:val="28"/>
                <w:szCs w:val="28"/>
                <w:lang w:eastAsia="pl-PL"/>
              </w:rPr>
            </w:pPr>
            <w:r w:rsidRPr="005361D3">
              <w:rPr>
                <w:rFonts w:ascii="Calibri" w:hAnsi="Calibri" w:cs="Calibri"/>
                <w:b/>
                <w:bCs/>
                <w:color w:val="FF7900"/>
                <w:sz w:val="28"/>
                <w:szCs w:val="28"/>
                <w:lang w:eastAsia="pl-PL"/>
              </w:rPr>
              <w:t>26%</w:t>
            </w:r>
          </w:p>
        </w:tc>
      </w:tr>
      <w:tr w:rsidR="00BA68DF" w:rsidRPr="005361D3" w:rsidTr="005C7C4E">
        <w:trPr>
          <w:trHeight w:val="508"/>
        </w:trPr>
        <w:tc>
          <w:tcPr>
            <w:tcW w:w="2835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BA68DF" w:rsidRPr="00D75B90" w:rsidRDefault="00BA68DF" w:rsidP="005C7C4E">
            <w:pPr>
              <w:rPr>
                <w:rFonts w:ascii="Calibri" w:hAnsi="Calibri" w:cs="Calibri"/>
                <w:color w:val="EB605B"/>
                <w:sz w:val="28"/>
                <w:szCs w:val="28"/>
                <w:lang w:eastAsia="pl-PL"/>
              </w:rPr>
            </w:pPr>
            <w:r w:rsidRPr="00D75B90">
              <w:rPr>
                <w:rFonts w:ascii="Calibri" w:hAnsi="Calibri" w:cs="Calibri"/>
                <w:color w:val="EB605B"/>
                <w:sz w:val="28"/>
                <w:szCs w:val="28"/>
                <w:lang w:eastAsia="pl-PL"/>
              </w:rPr>
              <w:t>Polska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BA68DF" w:rsidRPr="00D75B90" w:rsidRDefault="00BA68DF" w:rsidP="005C7C4E">
            <w:pPr>
              <w:jc w:val="center"/>
              <w:rPr>
                <w:rFonts w:ascii="Calibri" w:hAnsi="Calibri" w:cs="Calibri"/>
                <w:color w:val="EB605B"/>
                <w:sz w:val="28"/>
                <w:szCs w:val="28"/>
                <w:lang w:eastAsia="pl-PL"/>
              </w:rPr>
            </w:pPr>
            <w:r w:rsidRPr="00D75B90">
              <w:rPr>
                <w:rFonts w:ascii="Calibri" w:hAnsi="Calibri" w:cs="Calibri"/>
                <w:color w:val="EB605B"/>
                <w:sz w:val="28"/>
                <w:szCs w:val="28"/>
                <w:lang w:eastAsia="pl-PL"/>
              </w:rPr>
              <w:t>409,53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BA68DF" w:rsidRPr="00D75B90" w:rsidRDefault="00BA68DF" w:rsidP="005C7C4E">
            <w:pPr>
              <w:jc w:val="center"/>
              <w:rPr>
                <w:rFonts w:ascii="Calibri" w:hAnsi="Calibri" w:cs="Calibri"/>
                <w:color w:val="EB605B"/>
                <w:sz w:val="28"/>
                <w:szCs w:val="28"/>
                <w:lang w:eastAsia="pl-PL"/>
              </w:rPr>
            </w:pPr>
            <w:r w:rsidRPr="00D75B90">
              <w:rPr>
                <w:rFonts w:ascii="Calibri" w:hAnsi="Calibri" w:cs="Calibri"/>
                <w:color w:val="EB605B"/>
                <w:sz w:val="28"/>
                <w:szCs w:val="28"/>
                <w:lang w:eastAsia="pl-PL"/>
              </w:rPr>
              <w:t>502,75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BA68DF" w:rsidRPr="00D75B90" w:rsidRDefault="00BA68DF" w:rsidP="005C7C4E">
            <w:pPr>
              <w:jc w:val="center"/>
              <w:rPr>
                <w:rFonts w:ascii="Calibri" w:hAnsi="Calibri" w:cs="Calibri"/>
                <w:b/>
                <w:bCs/>
                <w:color w:val="EB605B"/>
                <w:sz w:val="28"/>
                <w:szCs w:val="28"/>
                <w:lang w:eastAsia="pl-PL"/>
              </w:rPr>
            </w:pPr>
            <w:r w:rsidRPr="00D75B90">
              <w:rPr>
                <w:rFonts w:ascii="Calibri" w:hAnsi="Calibri" w:cs="Calibri"/>
                <w:b/>
                <w:bCs/>
                <w:color w:val="EB605B"/>
                <w:sz w:val="28"/>
                <w:szCs w:val="28"/>
                <w:lang w:eastAsia="pl-PL"/>
              </w:rPr>
              <w:t>23%</w:t>
            </w:r>
          </w:p>
        </w:tc>
      </w:tr>
    </w:tbl>
    <w:p w:rsidR="00BA68DF" w:rsidRPr="00BA68DF" w:rsidRDefault="00BA68DF" w:rsidP="00BA68DF">
      <w:pPr>
        <w:jc w:val="center"/>
        <w:rPr>
          <w:sz w:val="18"/>
          <w:szCs w:val="18"/>
        </w:rPr>
      </w:pPr>
      <w:r w:rsidRPr="00BA68DF">
        <w:rPr>
          <w:sz w:val="18"/>
          <w:szCs w:val="18"/>
        </w:rPr>
        <w:t xml:space="preserve">Źródło: Opracowanie Sedlak </w:t>
      </w:r>
      <w:r w:rsidRPr="00E6691F">
        <w:rPr>
          <w:sz w:val="14"/>
          <w:szCs w:val="14"/>
        </w:rPr>
        <w:t>&amp;</w:t>
      </w:r>
      <w:r w:rsidRPr="00BA68DF">
        <w:rPr>
          <w:sz w:val="18"/>
          <w:szCs w:val="18"/>
        </w:rPr>
        <w:t xml:space="preserve"> Sedlak na podstawie Eurostatu</w:t>
      </w:r>
    </w:p>
    <w:p w:rsidR="00BA68DF" w:rsidRDefault="00BA68DF" w:rsidP="00BA68DF">
      <w:pPr>
        <w:pStyle w:val="tekstsedalk"/>
      </w:pPr>
    </w:p>
    <w:p w:rsidR="00BA68DF" w:rsidRDefault="00BA68DF" w:rsidP="00BA68DF">
      <w:pPr>
        <w:pStyle w:val="tekstsedalk"/>
      </w:pPr>
    </w:p>
    <w:p w:rsidR="00BA68DF" w:rsidRDefault="00BA68DF" w:rsidP="00BA68DF">
      <w:pPr>
        <w:pStyle w:val="tekstsedalk"/>
      </w:pPr>
      <w:r w:rsidRPr="00776EEC">
        <w:t xml:space="preserve">Największy wzrost wartości realnej wynagrodzenia minimalnego zanotowano w </w:t>
      </w:r>
      <w:r>
        <w:t>Rumunii</w:t>
      </w:r>
      <w:r w:rsidRPr="00776EEC">
        <w:t>. Realna wartość płacy minimalnej</w:t>
      </w:r>
      <w:r>
        <w:t>, w latach 2015-2018, wzrosła tam aż o 91%. Z kolei w Grecji realna wartość płacy minimalnej w omawianym okresie spadła o 1,6%.</w:t>
      </w:r>
    </w:p>
    <w:p w:rsidR="00BA68DF" w:rsidRPr="00776EEC" w:rsidRDefault="00BA68DF" w:rsidP="00BA68DF">
      <w:pPr>
        <w:pStyle w:val="tekstsedalk"/>
      </w:pPr>
    </w:p>
    <w:p w:rsidR="00BA68DF" w:rsidRDefault="00BA68DF" w:rsidP="00BA68DF">
      <w:pPr>
        <w:pStyle w:val="podpissedlak"/>
      </w:pPr>
      <w:r>
        <w:t xml:space="preserve">Tabela 2. Dynamika minimalnego wynagrodzenia </w:t>
      </w:r>
    </w:p>
    <w:p w:rsidR="00BA68DF" w:rsidRDefault="00BA68DF" w:rsidP="00BA68DF">
      <w:pPr>
        <w:pStyle w:val="podpissedlak"/>
      </w:pPr>
      <w:r>
        <w:t>w państwach UE w latach 2015-2018 (w EUR PPS)</w:t>
      </w:r>
    </w:p>
    <w:tbl>
      <w:tblPr>
        <w:tblW w:w="87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602"/>
        <w:gridCol w:w="2154"/>
        <w:gridCol w:w="2154"/>
      </w:tblGrid>
      <w:tr w:rsidR="00BA68DF" w:rsidRPr="00751A3B" w:rsidTr="005C7C4E">
        <w:trPr>
          <w:trHeight w:val="622"/>
        </w:trPr>
        <w:tc>
          <w:tcPr>
            <w:tcW w:w="2835" w:type="dxa"/>
            <w:tcBorders>
              <w:top w:val="single" w:sz="8" w:space="0" w:color="FFDEBF"/>
              <w:left w:val="nil"/>
              <w:bottom w:val="single" w:sz="8" w:space="0" w:color="FFDEBF"/>
              <w:right w:val="single" w:sz="8" w:space="0" w:color="FFFFFF"/>
            </w:tcBorders>
            <w:shd w:val="clear" w:color="000000" w:fill="FFF2E9"/>
            <w:vAlign w:val="center"/>
            <w:hideMark/>
          </w:tcPr>
          <w:p w:rsidR="00BA68DF" w:rsidRPr="00751A3B" w:rsidRDefault="00BA68DF" w:rsidP="005C7C4E">
            <w:pPr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</w:pPr>
          </w:p>
        </w:tc>
        <w:tc>
          <w:tcPr>
            <w:tcW w:w="1602" w:type="dxa"/>
            <w:tcBorders>
              <w:top w:val="single" w:sz="8" w:space="0" w:color="FFDEBF"/>
              <w:left w:val="nil"/>
              <w:bottom w:val="single" w:sz="8" w:space="0" w:color="FFDEBF"/>
              <w:right w:val="single" w:sz="8" w:space="0" w:color="FFFFFF"/>
            </w:tcBorders>
            <w:shd w:val="clear" w:color="000000" w:fill="FFF2E9"/>
            <w:vAlign w:val="center"/>
            <w:hideMark/>
          </w:tcPr>
          <w:p w:rsidR="00BA68DF" w:rsidRPr="00751A3B" w:rsidRDefault="00BA68DF" w:rsidP="005C7C4E">
            <w:pPr>
              <w:jc w:val="center"/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</w:pPr>
            <w:r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  <w:t>2015</w:t>
            </w:r>
          </w:p>
        </w:tc>
        <w:tc>
          <w:tcPr>
            <w:tcW w:w="2154" w:type="dxa"/>
            <w:tcBorders>
              <w:top w:val="single" w:sz="8" w:space="0" w:color="FFDEBF"/>
              <w:left w:val="nil"/>
              <w:bottom w:val="single" w:sz="8" w:space="0" w:color="FFDEBF"/>
              <w:right w:val="single" w:sz="8" w:space="0" w:color="FFFFFF"/>
            </w:tcBorders>
            <w:shd w:val="clear" w:color="000000" w:fill="FFF2E9"/>
            <w:vAlign w:val="center"/>
            <w:hideMark/>
          </w:tcPr>
          <w:p w:rsidR="00BA68DF" w:rsidRPr="00751A3B" w:rsidRDefault="00BA68DF" w:rsidP="005C7C4E">
            <w:pPr>
              <w:jc w:val="center"/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</w:pPr>
            <w:r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  <w:t>2018</w:t>
            </w:r>
          </w:p>
        </w:tc>
        <w:tc>
          <w:tcPr>
            <w:tcW w:w="2154" w:type="dxa"/>
            <w:tcBorders>
              <w:top w:val="single" w:sz="8" w:space="0" w:color="FFDEBF"/>
              <w:left w:val="nil"/>
              <w:bottom w:val="single" w:sz="8" w:space="0" w:color="FFDEBF"/>
              <w:right w:val="single" w:sz="8" w:space="0" w:color="FFFFFF"/>
            </w:tcBorders>
            <w:shd w:val="clear" w:color="000000" w:fill="FFF2E9"/>
            <w:vAlign w:val="center"/>
            <w:hideMark/>
          </w:tcPr>
          <w:p w:rsidR="00BA68DF" w:rsidRPr="00751A3B" w:rsidRDefault="00BA68DF" w:rsidP="005C7C4E">
            <w:pPr>
              <w:jc w:val="center"/>
              <w:rPr>
                <w:rFonts w:ascii="Calibri" w:hAnsi="Calibri" w:cs="Calibri"/>
                <w:b/>
                <w:bCs/>
                <w:color w:val="FF7900"/>
                <w:sz w:val="28"/>
                <w:szCs w:val="28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FF7900"/>
                <w:sz w:val="28"/>
                <w:szCs w:val="28"/>
                <w:lang w:eastAsia="pl-PL"/>
              </w:rPr>
              <w:t>dynamika</w:t>
            </w:r>
          </w:p>
        </w:tc>
      </w:tr>
      <w:tr w:rsidR="00BA68DF" w:rsidRPr="00751A3B" w:rsidTr="005C7C4E">
        <w:trPr>
          <w:trHeight w:val="508"/>
        </w:trPr>
        <w:tc>
          <w:tcPr>
            <w:tcW w:w="2835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BA68DF" w:rsidRPr="00751A3B" w:rsidRDefault="00BA68DF" w:rsidP="005C7C4E">
            <w:pPr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</w:pPr>
            <w:r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  <w:t>Rumunia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BA68DF" w:rsidRPr="005A6191" w:rsidRDefault="00BA68DF" w:rsidP="005C7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  <w:t>423,56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BA68DF" w:rsidRPr="00751A3B" w:rsidRDefault="00BA68DF" w:rsidP="005C7C4E">
            <w:pPr>
              <w:jc w:val="center"/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</w:pPr>
            <w:r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  <w:t>808,6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BA68DF" w:rsidRPr="00751A3B" w:rsidRDefault="00BA68DF" w:rsidP="005C7C4E">
            <w:pPr>
              <w:jc w:val="center"/>
              <w:rPr>
                <w:rFonts w:ascii="Calibri" w:hAnsi="Calibri" w:cs="Calibri"/>
                <w:b/>
                <w:bCs/>
                <w:color w:val="FF7900"/>
                <w:sz w:val="28"/>
                <w:szCs w:val="28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FF7900"/>
                <w:sz w:val="28"/>
                <w:szCs w:val="28"/>
                <w:lang w:eastAsia="pl-PL"/>
              </w:rPr>
              <w:t>91%</w:t>
            </w:r>
          </w:p>
        </w:tc>
      </w:tr>
      <w:tr w:rsidR="00BA68DF" w:rsidRPr="00751A3B" w:rsidTr="005C7C4E">
        <w:trPr>
          <w:trHeight w:val="508"/>
        </w:trPr>
        <w:tc>
          <w:tcPr>
            <w:tcW w:w="2835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BA68DF" w:rsidRPr="00751A3B" w:rsidRDefault="00BA68DF" w:rsidP="005C7C4E">
            <w:pPr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</w:pPr>
            <w:r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  <w:t>Bułgaria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BA68DF" w:rsidRPr="00751A3B" w:rsidRDefault="00BA68DF" w:rsidP="005C7C4E">
            <w:pPr>
              <w:jc w:val="center"/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</w:pPr>
            <w:r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  <w:t>394,15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BA68DF" w:rsidRPr="00751A3B" w:rsidRDefault="00BA68DF" w:rsidP="005C7C4E">
            <w:pPr>
              <w:jc w:val="center"/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</w:pPr>
            <w:r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  <w:t>546,150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BA68DF" w:rsidRPr="00751A3B" w:rsidRDefault="00BA68DF" w:rsidP="005C7C4E">
            <w:pPr>
              <w:jc w:val="center"/>
              <w:rPr>
                <w:rFonts w:ascii="Calibri" w:hAnsi="Calibri" w:cs="Calibri"/>
                <w:b/>
                <w:bCs/>
                <w:color w:val="FF7900"/>
                <w:sz w:val="28"/>
                <w:szCs w:val="28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FF7900"/>
                <w:sz w:val="28"/>
                <w:szCs w:val="28"/>
                <w:lang w:eastAsia="pl-PL"/>
              </w:rPr>
              <w:t>39%</w:t>
            </w:r>
          </w:p>
        </w:tc>
      </w:tr>
      <w:tr w:rsidR="00BA68DF" w:rsidRPr="00751A3B" w:rsidTr="005C7C4E">
        <w:trPr>
          <w:trHeight w:val="508"/>
        </w:trPr>
        <w:tc>
          <w:tcPr>
            <w:tcW w:w="2835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BA68DF" w:rsidRPr="00751A3B" w:rsidRDefault="00BA68DF" w:rsidP="005C7C4E">
            <w:pPr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</w:pPr>
            <w:r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  <w:t>Litwa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BA68DF" w:rsidRPr="00751A3B" w:rsidRDefault="00BA68DF" w:rsidP="005C7C4E">
            <w:pPr>
              <w:jc w:val="center"/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</w:pPr>
            <w:r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  <w:t>497,49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BA68DF" w:rsidRPr="00751A3B" w:rsidRDefault="00BA68DF" w:rsidP="005C7C4E">
            <w:pPr>
              <w:jc w:val="center"/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</w:pPr>
            <w:r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  <w:t>636,430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BA68DF" w:rsidRPr="00751A3B" w:rsidRDefault="00BA68DF" w:rsidP="005C7C4E">
            <w:pPr>
              <w:jc w:val="center"/>
              <w:rPr>
                <w:rFonts w:ascii="Calibri" w:hAnsi="Calibri" w:cs="Calibri"/>
                <w:b/>
                <w:bCs/>
                <w:color w:val="FF7900"/>
                <w:sz w:val="28"/>
                <w:szCs w:val="28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FF7900"/>
                <w:sz w:val="28"/>
                <w:szCs w:val="28"/>
                <w:lang w:eastAsia="pl-PL"/>
              </w:rPr>
              <w:t>28%</w:t>
            </w:r>
          </w:p>
        </w:tc>
      </w:tr>
      <w:tr w:rsidR="00BA68DF" w:rsidRPr="00751A3B" w:rsidTr="005C7C4E">
        <w:trPr>
          <w:trHeight w:val="508"/>
        </w:trPr>
        <w:tc>
          <w:tcPr>
            <w:tcW w:w="2835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BA68DF" w:rsidRPr="00751A3B" w:rsidRDefault="00BA68DF" w:rsidP="005C7C4E">
            <w:pPr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</w:pPr>
            <w:r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  <w:t>Węgry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BA68DF" w:rsidRPr="00751A3B" w:rsidRDefault="00BA68DF" w:rsidP="005C7C4E">
            <w:pPr>
              <w:jc w:val="center"/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</w:pPr>
            <w:r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  <w:t>587,66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BA68DF" w:rsidRPr="00751A3B" w:rsidRDefault="00BA68DF" w:rsidP="005C7C4E">
            <w:pPr>
              <w:jc w:val="center"/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</w:pPr>
            <w:r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  <w:t>743,24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BA68DF" w:rsidRPr="00751A3B" w:rsidRDefault="00BA68DF" w:rsidP="005C7C4E">
            <w:pPr>
              <w:jc w:val="center"/>
              <w:rPr>
                <w:rFonts w:ascii="Calibri" w:hAnsi="Calibri" w:cs="Calibri"/>
                <w:b/>
                <w:bCs/>
                <w:color w:val="FF7900"/>
                <w:sz w:val="28"/>
                <w:szCs w:val="28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FF7900"/>
                <w:sz w:val="28"/>
                <w:szCs w:val="28"/>
                <w:lang w:eastAsia="pl-PL"/>
              </w:rPr>
              <w:t>26%</w:t>
            </w:r>
          </w:p>
        </w:tc>
      </w:tr>
      <w:tr w:rsidR="00BA68DF" w:rsidRPr="00751A3B" w:rsidTr="005C7C4E">
        <w:trPr>
          <w:trHeight w:val="508"/>
        </w:trPr>
        <w:tc>
          <w:tcPr>
            <w:tcW w:w="2835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BA68DF" w:rsidRPr="00751A3B" w:rsidRDefault="00BA68DF" w:rsidP="005C7C4E">
            <w:pPr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</w:pPr>
            <w:r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  <w:t>Estonia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BA68DF" w:rsidRPr="00751A3B" w:rsidRDefault="00BA68DF" w:rsidP="005C7C4E">
            <w:pPr>
              <w:jc w:val="center"/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</w:pPr>
            <w:r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  <w:t>535,59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BA68DF" w:rsidRPr="00751A3B" w:rsidRDefault="00BA68DF" w:rsidP="005C7C4E">
            <w:pPr>
              <w:jc w:val="center"/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</w:pPr>
            <w:r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  <w:t>664,02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BA68DF" w:rsidRPr="00751A3B" w:rsidRDefault="00BA68DF" w:rsidP="005C7C4E">
            <w:pPr>
              <w:jc w:val="center"/>
              <w:rPr>
                <w:rFonts w:ascii="Calibri" w:hAnsi="Calibri" w:cs="Calibri"/>
                <w:b/>
                <w:bCs/>
                <w:color w:val="FF7900"/>
                <w:sz w:val="28"/>
                <w:szCs w:val="28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FF7900"/>
                <w:sz w:val="28"/>
                <w:szCs w:val="28"/>
                <w:lang w:eastAsia="pl-PL"/>
              </w:rPr>
              <w:t>24%</w:t>
            </w:r>
          </w:p>
        </w:tc>
      </w:tr>
      <w:tr w:rsidR="00BA68DF" w:rsidRPr="00751A3B" w:rsidTr="005C7C4E">
        <w:trPr>
          <w:trHeight w:val="508"/>
        </w:trPr>
        <w:tc>
          <w:tcPr>
            <w:tcW w:w="2835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BA68DF" w:rsidRPr="00751A3B" w:rsidRDefault="00BA68DF" w:rsidP="005C7C4E">
            <w:pPr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</w:pPr>
            <w:r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  <w:t>Słowacja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BA68DF" w:rsidRPr="00751A3B" w:rsidRDefault="00BA68DF" w:rsidP="005C7C4E">
            <w:pPr>
              <w:jc w:val="center"/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</w:pPr>
            <w:r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  <w:t>572,38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BA68DF" w:rsidRPr="00751A3B" w:rsidRDefault="00BA68DF" w:rsidP="005C7C4E">
            <w:pPr>
              <w:jc w:val="center"/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</w:pPr>
            <w:r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  <w:t>705,88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BA68DF" w:rsidRPr="00751A3B" w:rsidRDefault="00BA68DF" w:rsidP="005C7C4E">
            <w:pPr>
              <w:jc w:val="center"/>
              <w:rPr>
                <w:rFonts w:ascii="Calibri" w:hAnsi="Calibri" w:cs="Calibri"/>
                <w:b/>
                <w:bCs/>
                <w:color w:val="FF7900"/>
                <w:sz w:val="28"/>
                <w:szCs w:val="28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FF7900"/>
                <w:sz w:val="28"/>
                <w:szCs w:val="28"/>
                <w:lang w:eastAsia="pl-PL"/>
              </w:rPr>
              <w:t>23%</w:t>
            </w:r>
          </w:p>
        </w:tc>
      </w:tr>
      <w:tr w:rsidR="00BA68DF" w:rsidRPr="00751A3B" w:rsidTr="005C7C4E">
        <w:trPr>
          <w:trHeight w:val="508"/>
        </w:trPr>
        <w:tc>
          <w:tcPr>
            <w:tcW w:w="2835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BA68DF" w:rsidRPr="00751A3B" w:rsidRDefault="00BA68DF" w:rsidP="005C7C4E">
            <w:pPr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</w:pPr>
            <w:r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  <w:t>Czechy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BA68DF" w:rsidRPr="00751A3B" w:rsidRDefault="00BA68DF" w:rsidP="005C7C4E">
            <w:pPr>
              <w:jc w:val="center"/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</w:pPr>
            <w:r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  <w:t>536,89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BA68DF" w:rsidRPr="00751A3B" w:rsidRDefault="00BA68DF" w:rsidP="005C7C4E">
            <w:pPr>
              <w:jc w:val="center"/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</w:pPr>
            <w:r>
              <w:rPr>
                <w:rFonts w:ascii="Calibri" w:hAnsi="Calibri" w:cs="Calibri"/>
                <w:color w:val="565350"/>
                <w:sz w:val="28"/>
                <w:szCs w:val="28"/>
                <w:lang w:eastAsia="pl-PL"/>
              </w:rPr>
              <w:t>650,64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BA68DF" w:rsidRPr="00751A3B" w:rsidRDefault="00BA68DF" w:rsidP="005C7C4E">
            <w:pPr>
              <w:jc w:val="center"/>
              <w:rPr>
                <w:rFonts w:ascii="Calibri" w:hAnsi="Calibri" w:cs="Calibri"/>
                <w:b/>
                <w:bCs/>
                <w:color w:val="FF7900"/>
                <w:sz w:val="28"/>
                <w:szCs w:val="28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FF7900"/>
                <w:sz w:val="28"/>
                <w:szCs w:val="28"/>
                <w:lang w:eastAsia="pl-PL"/>
              </w:rPr>
              <w:t>21%</w:t>
            </w:r>
          </w:p>
        </w:tc>
      </w:tr>
      <w:tr w:rsidR="00BA68DF" w:rsidRPr="00751A3B" w:rsidTr="005C7C4E">
        <w:trPr>
          <w:trHeight w:val="508"/>
        </w:trPr>
        <w:tc>
          <w:tcPr>
            <w:tcW w:w="2835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BA68DF" w:rsidRPr="00D75B90" w:rsidRDefault="00BA68DF" w:rsidP="005C7C4E">
            <w:pPr>
              <w:rPr>
                <w:rFonts w:ascii="Calibri" w:hAnsi="Calibri" w:cs="Calibri"/>
                <w:color w:val="EB605B"/>
                <w:sz w:val="28"/>
                <w:szCs w:val="28"/>
                <w:lang w:eastAsia="pl-PL"/>
              </w:rPr>
            </w:pPr>
            <w:r w:rsidRPr="00D75B90">
              <w:rPr>
                <w:rFonts w:ascii="Calibri" w:hAnsi="Calibri" w:cs="Calibri"/>
                <w:color w:val="EB605B"/>
                <w:sz w:val="28"/>
                <w:szCs w:val="28"/>
                <w:lang w:eastAsia="pl-PL"/>
              </w:rPr>
              <w:lastRenderedPageBreak/>
              <w:t>Polska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BA68DF" w:rsidRPr="00D75B90" w:rsidRDefault="00BA68DF" w:rsidP="005C7C4E">
            <w:pPr>
              <w:jc w:val="center"/>
              <w:rPr>
                <w:rFonts w:ascii="Calibri" w:hAnsi="Calibri" w:cs="Calibri"/>
                <w:color w:val="EB605B"/>
                <w:sz w:val="28"/>
                <w:szCs w:val="28"/>
                <w:lang w:eastAsia="pl-PL"/>
              </w:rPr>
            </w:pPr>
            <w:r>
              <w:rPr>
                <w:rFonts w:ascii="Calibri" w:hAnsi="Calibri" w:cs="Calibri"/>
                <w:color w:val="EB605B"/>
                <w:sz w:val="28"/>
                <w:szCs w:val="28"/>
                <w:lang w:eastAsia="pl-PL"/>
              </w:rPr>
              <w:t>771,68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BA68DF" w:rsidRPr="00D75B90" w:rsidRDefault="00BA68DF" w:rsidP="005C7C4E">
            <w:pPr>
              <w:jc w:val="center"/>
              <w:rPr>
                <w:rFonts w:ascii="Calibri" w:hAnsi="Calibri" w:cs="Calibri"/>
                <w:color w:val="EB605B"/>
                <w:sz w:val="28"/>
                <w:szCs w:val="28"/>
                <w:lang w:eastAsia="pl-PL"/>
              </w:rPr>
            </w:pPr>
            <w:r>
              <w:rPr>
                <w:rFonts w:ascii="Calibri" w:hAnsi="Calibri" w:cs="Calibri"/>
                <w:color w:val="EB605B"/>
                <w:sz w:val="28"/>
                <w:szCs w:val="28"/>
                <w:lang w:eastAsia="pl-PL"/>
              </w:rPr>
              <w:t>897,52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BA68DF" w:rsidRPr="00D75B90" w:rsidRDefault="00BA68DF" w:rsidP="005C7C4E">
            <w:pPr>
              <w:jc w:val="center"/>
              <w:rPr>
                <w:rFonts w:ascii="Calibri" w:hAnsi="Calibri" w:cs="Calibri"/>
                <w:b/>
                <w:bCs/>
                <w:color w:val="EB605B"/>
                <w:sz w:val="28"/>
                <w:szCs w:val="28"/>
                <w:lang w:eastAsia="pl-PL"/>
              </w:rPr>
            </w:pPr>
            <w:r w:rsidRPr="00D75B90">
              <w:rPr>
                <w:rFonts w:ascii="Calibri" w:hAnsi="Calibri" w:cs="Calibri"/>
                <w:b/>
                <w:bCs/>
                <w:color w:val="EB605B"/>
                <w:sz w:val="28"/>
                <w:szCs w:val="28"/>
                <w:lang w:eastAsia="pl-PL"/>
              </w:rPr>
              <w:t>16%</w:t>
            </w:r>
          </w:p>
        </w:tc>
      </w:tr>
    </w:tbl>
    <w:p w:rsidR="00BA68DF" w:rsidRPr="00BA68DF" w:rsidRDefault="00BA68DF" w:rsidP="00BA68DF">
      <w:pPr>
        <w:jc w:val="center"/>
        <w:rPr>
          <w:sz w:val="18"/>
          <w:szCs w:val="18"/>
        </w:rPr>
      </w:pPr>
      <w:r w:rsidRPr="00BA68DF">
        <w:rPr>
          <w:sz w:val="18"/>
          <w:szCs w:val="18"/>
        </w:rPr>
        <w:t xml:space="preserve">Źródło: opracowanie Sedlak </w:t>
      </w:r>
      <w:r w:rsidRPr="00E6691F">
        <w:rPr>
          <w:sz w:val="14"/>
          <w:szCs w:val="14"/>
        </w:rPr>
        <w:t>&amp;</w:t>
      </w:r>
      <w:r w:rsidRPr="00BA68DF">
        <w:rPr>
          <w:sz w:val="18"/>
          <w:szCs w:val="18"/>
        </w:rPr>
        <w:t xml:space="preserve"> Sedlak na podstawie Eurostatu</w:t>
      </w:r>
    </w:p>
    <w:p w:rsidR="00BA68DF" w:rsidRDefault="00BA68DF" w:rsidP="00BA68DF">
      <w:pPr>
        <w:pStyle w:val="tekstsedalk"/>
      </w:pPr>
    </w:p>
    <w:p w:rsidR="00BA68DF" w:rsidRDefault="00BA68DF" w:rsidP="00BA68DF">
      <w:pPr>
        <w:pStyle w:val="tekstsedalk"/>
      </w:pPr>
    </w:p>
    <w:p w:rsidR="00BA68DF" w:rsidRDefault="00BA68DF" w:rsidP="00BA68DF">
      <w:pPr>
        <w:pStyle w:val="tekstsedalk"/>
      </w:pPr>
      <w:r>
        <w:t>Zarówno p</w:t>
      </w:r>
      <w:r w:rsidRPr="00776EEC">
        <w:t xml:space="preserve">łaca minimalna </w:t>
      </w:r>
      <w:r>
        <w:t>jak i</w:t>
      </w:r>
      <w:r w:rsidRPr="00776EEC">
        <w:t xml:space="preserve"> przeciętne miesięczne wynagrodzenie w Polsce rosną. Dynamika płacy minimalnej jest jednak większa. Oznacza to, że jej wysokość rośnie szybciej niż wynagrodzenia przeciętnego.</w:t>
      </w:r>
      <w:r>
        <w:t xml:space="preserve"> </w:t>
      </w:r>
      <w:r w:rsidRPr="00607BC5">
        <w:t>Płace minimalne w 2008 roku wzrosły w relacj</w:t>
      </w:r>
      <w:r>
        <w:t>i do roku poprzedniego aż o 20</w:t>
      </w:r>
      <w:r w:rsidRPr="00607BC5">
        <w:t xml:space="preserve">%, zaś płace średnie o </w:t>
      </w:r>
      <w:r>
        <w:t>9</w:t>
      </w:r>
      <w:r w:rsidRPr="00607BC5">
        <w:t xml:space="preserve">% przy inflacji wynoszącej 4,2%. Duży wzrost płac minimalnych wystąpił również w kolejnym badanym roku. Od </w:t>
      </w:r>
      <w:r>
        <w:t>2011</w:t>
      </w:r>
      <w:r w:rsidRPr="00607BC5">
        <w:t xml:space="preserve"> </w:t>
      </w:r>
      <w:r>
        <w:t xml:space="preserve">roku </w:t>
      </w:r>
      <w:r w:rsidRPr="00607BC5">
        <w:t>wzrost płacy minimalnej</w:t>
      </w:r>
      <w:r>
        <w:t xml:space="preserve"> systematycznie</w:t>
      </w:r>
      <w:r w:rsidRPr="00607BC5">
        <w:t xml:space="preserve"> wyprzedzał wzrost przeciętnych wynagrodzeń brutto w </w:t>
      </w:r>
      <w:r>
        <w:t>gospodarce narodowej</w:t>
      </w:r>
      <w:r w:rsidRPr="00607BC5">
        <w:t>.</w:t>
      </w:r>
      <w:r>
        <w:t xml:space="preserve"> </w:t>
      </w:r>
      <w:r w:rsidRPr="00607BC5">
        <w:t>W całym tym okresie zarówno płace minimalne, jak i średnie</w:t>
      </w:r>
      <w:r>
        <w:t>,</w:t>
      </w:r>
      <w:r w:rsidRPr="00607BC5">
        <w:t xml:space="preserve"> </w:t>
      </w:r>
      <w:r>
        <w:t>rosły również w ujęciu realnym</w:t>
      </w:r>
      <w:r w:rsidRPr="00607BC5">
        <w:t xml:space="preserve">. </w:t>
      </w:r>
    </w:p>
    <w:p w:rsidR="00BA68DF" w:rsidRDefault="00BA68DF" w:rsidP="00BA68DF">
      <w:pPr>
        <w:pStyle w:val="tekstsedalk"/>
      </w:pPr>
    </w:p>
    <w:p w:rsidR="00BA68DF" w:rsidRDefault="00BA68DF" w:rsidP="00BA68DF">
      <w:pPr>
        <w:pStyle w:val="podpissedlak"/>
      </w:pPr>
      <w:r>
        <w:t xml:space="preserve">Wykres 5. </w:t>
      </w:r>
      <w:r w:rsidRPr="008F1A66">
        <w:t xml:space="preserve">Dynamika zmian wynagrodzenia minimalnego </w:t>
      </w:r>
      <w:r w:rsidRPr="008F1A66">
        <w:br/>
        <w:t xml:space="preserve">oraz </w:t>
      </w:r>
      <w:r>
        <w:t xml:space="preserve">średniego </w:t>
      </w:r>
      <w:r w:rsidRPr="008F1A66">
        <w:t>w Polsce z roku na rok w latach 2007/201</w:t>
      </w:r>
      <w:r>
        <w:t>7</w:t>
      </w:r>
    </w:p>
    <w:p w:rsidR="00BA68DF" w:rsidRDefault="00BA68DF" w:rsidP="00BA68DF">
      <w:pPr>
        <w:pStyle w:val="tekstsedalk"/>
      </w:pPr>
    </w:p>
    <w:p w:rsidR="00BA68DF" w:rsidRDefault="00BA68DF" w:rsidP="00BA68DF">
      <w:pPr>
        <w:pStyle w:val="tekstsedalk"/>
      </w:pPr>
      <w:r>
        <w:rPr>
          <w:noProof/>
          <w:lang w:eastAsia="pl-PL"/>
        </w:rPr>
        <w:drawing>
          <wp:inline distT="0" distB="0" distL="0" distR="0" wp14:anchorId="3AE2BDDA" wp14:editId="279A28A4">
            <wp:extent cx="6312877" cy="3596054"/>
            <wp:effectExtent l="0" t="0" r="0" b="4445"/>
            <wp:docPr id="10" name="Wykres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BA68DF" w:rsidRPr="00BA68DF" w:rsidRDefault="00BA68DF" w:rsidP="00BA68DF">
      <w:pPr>
        <w:jc w:val="center"/>
        <w:rPr>
          <w:sz w:val="18"/>
          <w:szCs w:val="18"/>
        </w:rPr>
      </w:pPr>
      <w:r w:rsidRPr="00BA68DF">
        <w:rPr>
          <w:sz w:val="18"/>
          <w:szCs w:val="18"/>
        </w:rPr>
        <w:t xml:space="preserve">Źródło: Opracowanie Sedlak </w:t>
      </w:r>
      <w:r w:rsidRPr="00E6691F">
        <w:rPr>
          <w:sz w:val="14"/>
          <w:szCs w:val="14"/>
        </w:rPr>
        <w:t>&amp;</w:t>
      </w:r>
      <w:r w:rsidRPr="00BA68DF">
        <w:rPr>
          <w:sz w:val="18"/>
          <w:szCs w:val="18"/>
        </w:rPr>
        <w:t xml:space="preserve"> Sedlak na podstawie GUS</w:t>
      </w:r>
    </w:p>
    <w:p w:rsidR="00BA68DF" w:rsidRDefault="00BA68DF" w:rsidP="00BA68DF">
      <w:pPr>
        <w:pStyle w:val="tekstsedalk"/>
      </w:pPr>
    </w:p>
    <w:p w:rsidR="00BA68DF" w:rsidRDefault="00BA68DF" w:rsidP="00BA68DF">
      <w:pPr>
        <w:pStyle w:val="podtytusedlak"/>
      </w:pPr>
    </w:p>
    <w:p w:rsidR="00BA68DF" w:rsidRDefault="00BA68DF" w:rsidP="00BA68DF">
      <w:pPr>
        <w:pStyle w:val="podtytusedlak"/>
      </w:pPr>
    </w:p>
    <w:p w:rsidR="00BA68DF" w:rsidRDefault="00BA68DF" w:rsidP="00BA68DF">
      <w:pPr>
        <w:pStyle w:val="podtytusedlak"/>
      </w:pPr>
    </w:p>
    <w:p w:rsidR="00BA68DF" w:rsidRDefault="00BA68DF" w:rsidP="00BA68DF">
      <w:pPr>
        <w:pStyle w:val="podtytusedlak"/>
      </w:pPr>
      <w:r w:rsidRPr="00AD12F5">
        <w:lastRenderedPageBreak/>
        <w:t xml:space="preserve">Udział płacy minimalnej w </w:t>
      </w:r>
      <w:r>
        <w:t>średnich</w:t>
      </w:r>
      <w:r w:rsidRPr="00AD12F5">
        <w:t xml:space="preserve"> zarobkach</w:t>
      </w:r>
    </w:p>
    <w:p w:rsidR="00BA68DF" w:rsidRDefault="00BA68DF" w:rsidP="00BA68DF">
      <w:pPr>
        <w:pStyle w:val="tekstsedalk"/>
      </w:pPr>
      <w:r w:rsidRPr="00607BC5">
        <w:t xml:space="preserve">Szybszy przyrost płac minimalnych niż </w:t>
      </w:r>
      <w:r>
        <w:t>średnich</w:t>
      </w:r>
      <w:r w:rsidRPr="00607BC5">
        <w:t xml:space="preserve"> wynagrodzeń spowodował wzrost udziału płacy minimalnej w płacach średnich. Oznacza to zbliżanie się pła</w:t>
      </w:r>
      <w:r>
        <w:t>cy minimalnej do płacy godziwej. J</w:t>
      </w:r>
      <w:r w:rsidRPr="00607BC5">
        <w:t xml:space="preserve">ednak </w:t>
      </w:r>
      <w:r>
        <w:t xml:space="preserve">ze względu na wciąż sporą </w:t>
      </w:r>
      <w:r w:rsidRPr="00607BC5">
        <w:t xml:space="preserve">rozpiętość między tymi </w:t>
      </w:r>
      <w:r>
        <w:t xml:space="preserve">wielkościami, w większości krajów Unii </w:t>
      </w:r>
      <w:r w:rsidRPr="00607BC5">
        <w:t xml:space="preserve">nie można utożsamiać wynagrodzenia minimalnego z płacą godziwą. </w:t>
      </w:r>
      <w:r>
        <w:t>Według Rady Europy,</w:t>
      </w:r>
      <w:r w:rsidRPr="00A76F03">
        <w:t xml:space="preserve"> wynagrodzenie godziwe powinno kształtować się na poziomie </w:t>
      </w:r>
      <w:r>
        <w:t>50-</w:t>
      </w:r>
      <w:r w:rsidRPr="00A76F03">
        <w:t xml:space="preserve">60% płacy </w:t>
      </w:r>
      <w:r>
        <w:t>średniej</w:t>
      </w:r>
      <w:r w:rsidRPr="00A76F03">
        <w:t xml:space="preserve"> w danym kraju</w:t>
      </w:r>
      <w:r>
        <w:t xml:space="preserve"> (</w:t>
      </w:r>
      <w:r w:rsidRPr="000D5F2F">
        <w:rPr>
          <w:i/>
        </w:rPr>
        <w:t>Europejska Karta Społeczna</w:t>
      </w:r>
      <w:r w:rsidRPr="007A645A">
        <w:t>, 1961</w:t>
      </w:r>
      <w:r>
        <w:t>).</w:t>
      </w:r>
      <w:r w:rsidRPr="00A76F03">
        <w:t xml:space="preserve"> </w:t>
      </w:r>
    </w:p>
    <w:p w:rsidR="00BA68DF" w:rsidRDefault="00BA68DF" w:rsidP="00BA68DF">
      <w:pPr>
        <w:pStyle w:val="tekstsedalk"/>
      </w:pPr>
    </w:p>
    <w:p w:rsidR="00BA68DF" w:rsidRDefault="00BA68DF" w:rsidP="00BA68DF">
      <w:pPr>
        <w:pStyle w:val="tekstsedalk"/>
      </w:pPr>
      <w:r w:rsidRPr="00776EEC">
        <w:t>Stosunek płacy minimalnej do przeciętnych zarobków w naszym kraju ma podobną wartość jak w innych krajach europejskich.</w:t>
      </w:r>
      <w:r>
        <w:t xml:space="preserve"> </w:t>
      </w:r>
      <w:r w:rsidRPr="00776EEC">
        <w:t>Płaca minimalna w Polsce w 201</w:t>
      </w:r>
      <w:r>
        <w:t>6</w:t>
      </w:r>
      <w:r w:rsidRPr="00776EEC">
        <w:t xml:space="preserve"> roku stanowiła 4</w:t>
      </w:r>
      <w:r>
        <w:t>6,2</w:t>
      </w:r>
      <w:r w:rsidRPr="00776EEC">
        <w:t xml:space="preserve">% </w:t>
      </w:r>
      <w:r>
        <w:t>średniego</w:t>
      </w:r>
      <w:r w:rsidRPr="00776EEC">
        <w:t xml:space="preserve"> wynagrodzenia.</w:t>
      </w:r>
      <w:r>
        <w:t xml:space="preserve"> </w:t>
      </w:r>
      <w:r w:rsidRPr="00607BC5">
        <w:t>Dane z Eurostatu pokazują, że w 201</w:t>
      </w:r>
      <w:r>
        <w:t>6</w:t>
      </w:r>
      <w:r w:rsidRPr="00607BC5">
        <w:t xml:space="preserve"> roku</w:t>
      </w:r>
      <w:r>
        <w:t>,</w:t>
      </w:r>
      <w:r w:rsidRPr="00607BC5">
        <w:t xml:space="preserve"> wśród krajów Unii Europejskiej, udział płacy minimalnej w </w:t>
      </w:r>
      <w:r>
        <w:t xml:space="preserve">średnim </w:t>
      </w:r>
      <w:r w:rsidRPr="00607BC5">
        <w:t xml:space="preserve">wynagrodzeniu przekroczył 50% </w:t>
      </w:r>
      <w:r>
        <w:t>jedynie w przypadku Słowenii oraz Litwy.</w:t>
      </w:r>
    </w:p>
    <w:p w:rsidR="00BA68DF" w:rsidRDefault="00BA68DF" w:rsidP="00BA68DF">
      <w:pPr>
        <w:pStyle w:val="tekstsedalk"/>
      </w:pPr>
    </w:p>
    <w:p w:rsidR="00BA68DF" w:rsidRDefault="00BA68DF" w:rsidP="00BA68DF">
      <w:pPr>
        <w:pStyle w:val="tekstsedalk"/>
      </w:pPr>
    </w:p>
    <w:p w:rsidR="00BA68DF" w:rsidRDefault="00BA68DF" w:rsidP="00BA68DF">
      <w:pPr>
        <w:pStyle w:val="podpissedlak"/>
      </w:pPr>
      <w:r>
        <w:t xml:space="preserve">Wykres 6. </w:t>
      </w:r>
      <w:r w:rsidRPr="00665FD8">
        <w:t xml:space="preserve">Udział płacy minimalnej </w:t>
      </w:r>
      <w:r w:rsidRPr="00665FD8">
        <w:br/>
        <w:t xml:space="preserve">w </w:t>
      </w:r>
      <w:r>
        <w:t>średnich</w:t>
      </w:r>
      <w:r w:rsidRPr="00665FD8">
        <w:t xml:space="preserve"> zarobkach w 201</w:t>
      </w:r>
      <w:r>
        <w:t>6</w:t>
      </w:r>
      <w:r w:rsidRPr="00665FD8">
        <w:t xml:space="preserve"> roku</w:t>
      </w:r>
      <w:r>
        <w:t xml:space="preserve"> (w %)</w:t>
      </w:r>
    </w:p>
    <w:p w:rsidR="00BA68DF" w:rsidRDefault="00BA68DF" w:rsidP="00BA68DF">
      <w:pPr>
        <w:pStyle w:val="tekstsedalk"/>
      </w:pPr>
    </w:p>
    <w:p w:rsidR="00BA68DF" w:rsidRDefault="00BA68DF" w:rsidP="00BA68DF">
      <w:pPr>
        <w:pStyle w:val="tekstsedalk"/>
      </w:pPr>
      <w:r>
        <w:rPr>
          <w:noProof/>
          <w:lang w:eastAsia="pl-PL"/>
        </w:rPr>
        <w:drawing>
          <wp:inline distT="0" distB="0" distL="0" distR="0" wp14:anchorId="6015EA40" wp14:editId="43C88ED0">
            <wp:extent cx="5996354" cy="2822331"/>
            <wp:effectExtent l="0" t="0" r="4445" b="0"/>
            <wp:docPr id="12" name="Wykres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BA68DF" w:rsidRPr="00BA68DF" w:rsidRDefault="00BA68DF" w:rsidP="00BA68DF">
      <w:pPr>
        <w:jc w:val="center"/>
        <w:rPr>
          <w:sz w:val="18"/>
          <w:szCs w:val="18"/>
        </w:rPr>
      </w:pPr>
      <w:r w:rsidRPr="00BA68DF">
        <w:rPr>
          <w:sz w:val="18"/>
          <w:szCs w:val="18"/>
        </w:rPr>
        <w:t xml:space="preserve">Źródło: Opracowanie Sedlak </w:t>
      </w:r>
      <w:r w:rsidRPr="00E6691F">
        <w:rPr>
          <w:sz w:val="14"/>
          <w:szCs w:val="14"/>
        </w:rPr>
        <w:t>&amp;</w:t>
      </w:r>
      <w:r w:rsidRPr="00BA68DF">
        <w:rPr>
          <w:sz w:val="18"/>
          <w:szCs w:val="18"/>
        </w:rPr>
        <w:t xml:space="preserve"> Sedlak na podstawie Eurostatu</w:t>
      </w:r>
    </w:p>
    <w:p w:rsidR="00BA68DF" w:rsidRDefault="00BA68DF" w:rsidP="00BA68DF">
      <w:pPr>
        <w:pStyle w:val="tekstsedalk"/>
      </w:pPr>
    </w:p>
    <w:p w:rsidR="00BA68DF" w:rsidRDefault="00BA68DF" w:rsidP="00BA68DF">
      <w:pPr>
        <w:pStyle w:val="tekstsedalk"/>
      </w:pPr>
    </w:p>
    <w:p w:rsidR="00BA68DF" w:rsidRDefault="00BA68DF" w:rsidP="00BA68DF">
      <w:pPr>
        <w:pStyle w:val="tekstsedalk"/>
      </w:pPr>
      <w:r w:rsidRPr="00776EEC">
        <w:t>W okresie od 200</w:t>
      </w:r>
      <w:r>
        <w:t>9</w:t>
      </w:r>
      <w:r w:rsidRPr="00776EEC">
        <w:t xml:space="preserve"> do 201</w:t>
      </w:r>
      <w:r>
        <w:t>6</w:t>
      </w:r>
      <w:r w:rsidRPr="00776EEC">
        <w:t xml:space="preserve"> roku </w:t>
      </w:r>
      <w:r w:rsidRPr="00376A9C">
        <w:t>udział</w:t>
      </w:r>
      <w:r w:rsidRPr="00776EEC">
        <w:t xml:space="preserve"> płacy minimalnej w </w:t>
      </w:r>
      <w:r>
        <w:t>średnim</w:t>
      </w:r>
      <w:r w:rsidRPr="00776EEC">
        <w:t xml:space="preserve"> wynagrodzeniu miesięcznym wzrósł w Polsce o </w:t>
      </w:r>
      <w:r>
        <w:t>10,7%</w:t>
      </w:r>
      <w:r w:rsidRPr="00776EEC">
        <w:t>.</w:t>
      </w:r>
      <w:r>
        <w:t xml:space="preserve"> </w:t>
      </w:r>
      <w:r w:rsidRPr="00776EEC">
        <w:t xml:space="preserve">W </w:t>
      </w:r>
      <w:r>
        <w:t>większości</w:t>
      </w:r>
      <w:r w:rsidRPr="00776EEC">
        <w:t xml:space="preserve"> krajów uwzględnionych w rankingu</w:t>
      </w:r>
      <w:r>
        <w:t xml:space="preserve"> wskaźnik ten</w:t>
      </w:r>
      <w:r w:rsidRPr="00776EEC">
        <w:t xml:space="preserve"> wzrósł.</w:t>
      </w:r>
      <w:r>
        <w:t xml:space="preserve"> Jedynie w Holandii, Hiszpanii oraz na Malcie zmalał.</w:t>
      </w:r>
    </w:p>
    <w:p w:rsidR="00BA68DF" w:rsidRDefault="00BA68DF" w:rsidP="00BA68DF">
      <w:pPr>
        <w:pStyle w:val="podpissedlak"/>
        <w:jc w:val="left"/>
      </w:pPr>
    </w:p>
    <w:p w:rsidR="00BA68DF" w:rsidRDefault="00BA68DF" w:rsidP="00BA68DF">
      <w:pPr>
        <w:pStyle w:val="podpissedlak"/>
      </w:pPr>
      <w:r>
        <w:lastRenderedPageBreak/>
        <w:t xml:space="preserve">Wykres 7. </w:t>
      </w:r>
      <w:r w:rsidRPr="00665FD8">
        <w:t xml:space="preserve">Zmiana </w:t>
      </w:r>
      <w:r w:rsidRPr="00376A9C">
        <w:t>udziału</w:t>
      </w:r>
      <w:r w:rsidRPr="00665FD8">
        <w:t xml:space="preserve"> wynagrodzenia minimalnego </w:t>
      </w:r>
    </w:p>
    <w:p w:rsidR="00BA68DF" w:rsidRDefault="00BA68DF" w:rsidP="00BA68DF">
      <w:pPr>
        <w:pStyle w:val="podpissedlak"/>
      </w:pPr>
      <w:r w:rsidRPr="00665FD8">
        <w:t xml:space="preserve">w </w:t>
      </w:r>
      <w:r>
        <w:t>średnim</w:t>
      </w:r>
      <w:r w:rsidRPr="00665FD8">
        <w:t xml:space="preserve"> wynagrodzeniu w krajach UE </w:t>
      </w:r>
      <w:r>
        <w:t xml:space="preserve">w latach 2009-2016 </w:t>
      </w:r>
      <w:r w:rsidRPr="00665FD8">
        <w:t>(</w:t>
      </w:r>
      <w:r>
        <w:t>2009=100%</w:t>
      </w:r>
      <w:r w:rsidRPr="00665FD8">
        <w:t>)</w:t>
      </w:r>
    </w:p>
    <w:p w:rsidR="00BA68DF" w:rsidRDefault="00BA68DF" w:rsidP="00BA68DF">
      <w:pPr>
        <w:pStyle w:val="tekstsedalk"/>
      </w:pPr>
      <w:r>
        <w:rPr>
          <w:noProof/>
          <w:lang w:eastAsia="pl-PL"/>
        </w:rPr>
        <w:drawing>
          <wp:inline distT="0" distB="0" distL="0" distR="0" wp14:anchorId="001B9B2E" wp14:editId="3E1CF07A">
            <wp:extent cx="6029325" cy="4238625"/>
            <wp:effectExtent l="0" t="0" r="0" b="0"/>
            <wp:docPr id="13" name="Wykres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BA68DF" w:rsidRPr="00BA68DF" w:rsidRDefault="00BA68DF" w:rsidP="00BA68DF">
      <w:pPr>
        <w:jc w:val="center"/>
        <w:rPr>
          <w:sz w:val="18"/>
          <w:szCs w:val="18"/>
        </w:rPr>
      </w:pPr>
      <w:r w:rsidRPr="00BA68DF">
        <w:rPr>
          <w:sz w:val="18"/>
          <w:szCs w:val="18"/>
        </w:rPr>
        <w:t xml:space="preserve">Źródło: Opracowanie Sedlak </w:t>
      </w:r>
      <w:r w:rsidRPr="00E6691F">
        <w:rPr>
          <w:sz w:val="14"/>
          <w:szCs w:val="14"/>
        </w:rPr>
        <w:t>&amp;</w:t>
      </w:r>
      <w:r w:rsidRPr="00BA68DF">
        <w:rPr>
          <w:sz w:val="18"/>
          <w:szCs w:val="18"/>
        </w:rPr>
        <w:t xml:space="preserve"> Sedlak na podstawie Eurostatu</w:t>
      </w:r>
    </w:p>
    <w:p w:rsidR="00BA68DF" w:rsidRDefault="00BA68DF" w:rsidP="00BA68DF">
      <w:pPr>
        <w:pStyle w:val="tekstsedalk"/>
      </w:pPr>
    </w:p>
    <w:p w:rsidR="00BA68DF" w:rsidRDefault="00BA68DF" w:rsidP="00BA68DF">
      <w:pPr>
        <w:pStyle w:val="podtytusedlak"/>
      </w:pPr>
    </w:p>
    <w:p w:rsidR="00BA68DF" w:rsidRPr="00AD12F5" w:rsidRDefault="00BA68DF" w:rsidP="00BA68DF">
      <w:pPr>
        <w:pStyle w:val="podtytusedlak"/>
      </w:pPr>
      <w:r w:rsidRPr="00AD12F5">
        <w:t>Odsetek osób pobierających minimalne wynagrodzenie</w:t>
      </w:r>
    </w:p>
    <w:p w:rsidR="00BA68DF" w:rsidRDefault="00BA68DF" w:rsidP="00BA68DF">
      <w:pPr>
        <w:pStyle w:val="tekstsedalk"/>
      </w:pPr>
      <w:r w:rsidRPr="00937D16">
        <w:t xml:space="preserve">Odsetek pracowników, których zarobki </w:t>
      </w:r>
      <w:r>
        <w:t>są na poziomie</w:t>
      </w:r>
      <w:r w:rsidRPr="00937D16">
        <w:t xml:space="preserve"> płacy minimalnej, jest bardzo różny w zależności od </w:t>
      </w:r>
      <w:r>
        <w:t>kraju</w:t>
      </w:r>
      <w:r w:rsidRPr="00937D16">
        <w:t>.</w:t>
      </w:r>
      <w:r>
        <w:t xml:space="preserve"> Najnowsze dane Europejskiego Urzędu Statystycznego pochodzą z 2014 roku. Eurostat oszacował odsetek osób pobierających minimalne wynagrodzenie d</w:t>
      </w:r>
      <w:r w:rsidRPr="00937D16">
        <w:t xml:space="preserve">zięki powiązaniu </w:t>
      </w:r>
      <w:r>
        <w:t>danych</w:t>
      </w:r>
      <w:r w:rsidRPr="00937D16">
        <w:t xml:space="preserve"> z dwóch ostatnich badań struktury wynagrodzeń, które są przeprowadzane co cztery lata, z poziomem płac minimalnych obowiązujących w</w:t>
      </w:r>
      <w:r>
        <w:t xml:space="preserve"> tym czasie (październik 2010 roku</w:t>
      </w:r>
      <w:r w:rsidRPr="00937D16">
        <w:t xml:space="preserve"> i 2014 r</w:t>
      </w:r>
      <w:r>
        <w:t>oku).</w:t>
      </w:r>
    </w:p>
    <w:p w:rsidR="00BA68DF" w:rsidRPr="00937D16" w:rsidRDefault="00BA68DF" w:rsidP="00BA68DF">
      <w:pPr>
        <w:pStyle w:val="tekstsedalk"/>
      </w:pPr>
    </w:p>
    <w:p w:rsidR="00BA68DF" w:rsidRDefault="00BA68DF" w:rsidP="00BA68DF">
      <w:pPr>
        <w:pStyle w:val="tekstsedalk"/>
      </w:pPr>
      <w:r>
        <w:t>W październiku 2014 roku</w:t>
      </w:r>
      <w:r w:rsidRPr="00937D16">
        <w:t xml:space="preserve"> w </w:t>
      </w:r>
      <w:r>
        <w:t xml:space="preserve">czterech </w:t>
      </w:r>
      <w:r w:rsidRPr="00937D16">
        <w:t>spośród państw członkowskich UE, w których obowiązuje płaca minimalna, odsetek pracowni</w:t>
      </w:r>
      <w:r>
        <w:t>ków zarabiających mniej niż 105</w:t>
      </w:r>
      <w:r w:rsidRPr="00937D16">
        <w:t xml:space="preserve">% krajowej płacy minimalnej przekraczał </w:t>
      </w:r>
      <w:r>
        <w:t>10</w:t>
      </w:r>
      <w:r w:rsidRPr="00937D16">
        <w:t>%. Były to następujące państwa: Słowenia (19</w:t>
      </w:r>
      <w:r>
        <w:t>,1 %), Rumunia (15,7 %), Portugalia (13%) i</w:t>
      </w:r>
      <w:r w:rsidRPr="00937D16">
        <w:t xml:space="preserve"> Polska (11,</w:t>
      </w:r>
      <w:r>
        <w:t>7</w:t>
      </w:r>
      <w:r w:rsidRPr="00937D16">
        <w:t xml:space="preserve"> %). W </w:t>
      </w:r>
      <w:r>
        <w:t>Belgii i Hiszpanii</w:t>
      </w:r>
      <w:r w:rsidRPr="00937D16">
        <w:t xml:space="preserve"> odnotowano </w:t>
      </w:r>
      <w:r w:rsidRPr="00937D16">
        <w:lastRenderedPageBreak/>
        <w:t>najniższy odsetek osób, których zarobki były niższe niż 105 % krajowej płacy minimalnej</w:t>
      </w:r>
      <w:r>
        <w:t xml:space="preserve"> – odpowiednio 0,4% i 1%.</w:t>
      </w:r>
    </w:p>
    <w:p w:rsidR="00BA68DF" w:rsidRDefault="00BA68DF" w:rsidP="00BA68DF">
      <w:pPr>
        <w:pStyle w:val="tekstsedalk"/>
      </w:pPr>
    </w:p>
    <w:p w:rsidR="00BA68DF" w:rsidRDefault="00BA68DF" w:rsidP="00BA68DF">
      <w:pPr>
        <w:pStyle w:val="podpissedlak"/>
      </w:pPr>
      <w:r>
        <w:t xml:space="preserve">Wykres 8. </w:t>
      </w:r>
      <w:r w:rsidRPr="00AD12F5">
        <w:t>Odsetek osób pobierających minimalne wynagrodzenie</w:t>
      </w:r>
    </w:p>
    <w:p w:rsidR="00BA68DF" w:rsidRPr="00AD12F5" w:rsidRDefault="00BA68DF" w:rsidP="00BA68DF">
      <w:pPr>
        <w:pStyle w:val="podpissedlak"/>
      </w:pPr>
      <w:r>
        <w:t xml:space="preserve"> w krajach Unii Europejskiej w 2010 i 2014 roku (%)</w:t>
      </w:r>
    </w:p>
    <w:p w:rsidR="00BA68DF" w:rsidRDefault="00BA68DF" w:rsidP="00BA68DF">
      <w:pPr>
        <w:pStyle w:val="podpissedlak"/>
      </w:pPr>
    </w:p>
    <w:p w:rsidR="00BA68DF" w:rsidRDefault="00BA68DF" w:rsidP="00BA68DF">
      <w:pPr>
        <w:pStyle w:val="tekstsedalk"/>
      </w:pPr>
      <w:r>
        <w:rPr>
          <w:noProof/>
          <w:lang w:eastAsia="pl-PL"/>
        </w:rPr>
        <w:drawing>
          <wp:inline distT="0" distB="0" distL="0" distR="0" wp14:anchorId="77425E12" wp14:editId="481FDA64">
            <wp:extent cx="6534150" cy="3962400"/>
            <wp:effectExtent l="0" t="0" r="0" b="0"/>
            <wp:docPr id="14" name="Wykres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BA68DF" w:rsidRPr="00BA68DF" w:rsidRDefault="00BA68DF" w:rsidP="00BA68DF">
      <w:pPr>
        <w:jc w:val="center"/>
        <w:rPr>
          <w:sz w:val="18"/>
          <w:szCs w:val="18"/>
        </w:rPr>
      </w:pPr>
      <w:r w:rsidRPr="00BA68DF">
        <w:rPr>
          <w:sz w:val="18"/>
          <w:szCs w:val="18"/>
        </w:rPr>
        <w:t xml:space="preserve">Źródło: Opracowanie Sedlak </w:t>
      </w:r>
      <w:r w:rsidRPr="00E6691F">
        <w:rPr>
          <w:sz w:val="14"/>
          <w:szCs w:val="14"/>
        </w:rPr>
        <w:t>&amp;</w:t>
      </w:r>
      <w:r w:rsidRPr="00BA68DF">
        <w:rPr>
          <w:sz w:val="18"/>
          <w:szCs w:val="18"/>
        </w:rPr>
        <w:t xml:space="preserve"> Sedlak na podstawie Eurostatu</w:t>
      </w:r>
    </w:p>
    <w:p w:rsidR="00BA68DF" w:rsidRDefault="00BA68DF" w:rsidP="00BA68DF">
      <w:pPr>
        <w:pStyle w:val="podtytusedlak"/>
        <w:rPr>
          <w:b w:val="0"/>
          <w:color w:val="auto"/>
          <w:sz w:val="24"/>
        </w:rPr>
      </w:pPr>
    </w:p>
    <w:p w:rsidR="00BA68DF" w:rsidRDefault="00BA68DF" w:rsidP="00BA68DF">
      <w:pPr>
        <w:pStyle w:val="podtytusedlak"/>
      </w:pPr>
    </w:p>
    <w:p w:rsidR="00BA68DF" w:rsidRDefault="00BA68DF" w:rsidP="00BA68DF">
      <w:pPr>
        <w:pStyle w:val="podtytusedlak"/>
      </w:pPr>
      <w:r>
        <w:t>Podsumowanie</w:t>
      </w:r>
    </w:p>
    <w:p w:rsidR="00BA68DF" w:rsidRPr="0061692F" w:rsidRDefault="00BA68DF" w:rsidP="00BA68DF">
      <w:pPr>
        <w:pStyle w:val="tekstsedalk"/>
        <w:rPr>
          <w:b/>
        </w:rPr>
      </w:pPr>
      <w:r w:rsidRPr="00776EEC">
        <w:t xml:space="preserve">Obecny poziom płacy minimalnej w Polsce jest stosunkowo wysoki. </w:t>
      </w:r>
      <w:r>
        <w:t>Dodatkowo d</w:t>
      </w:r>
      <w:r w:rsidRPr="00776EEC">
        <w:t xml:space="preserve">ynamika </w:t>
      </w:r>
      <w:r>
        <w:t xml:space="preserve">wzrostu </w:t>
      </w:r>
      <w:bookmarkStart w:id="0" w:name="_GoBack"/>
      <w:bookmarkEnd w:id="0"/>
      <w:r w:rsidRPr="00776EEC">
        <w:t>udziału płacy minimalnej w przecię</w:t>
      </w:r>
      <w:r>
        <w:t>tnym wynagrodzeniu w latach 2015</w:t>
      </w:r>
      <w:r w:rsidRPr="00776EEC">
        <w:t>-201</w:t>
      </w:r>
      <w:r>
        <w:t>8</w:t>
      </w:r>
      <w:r w:rsidRPr="00776EEC">
        <w:t xml:space="preserve"> była w Polsce jedn</w:t>
      </w:r>
      <w:r>
        <w:t>ą</w:t>
      </w:r>
      <w:r w:rsidRPr="00776EEC">
        <w:t xml:space="preserve"> z najwyższych w krajach Unii Europejskiej. Od 2011 roku dynamika </w:t>
      </w:r>
      <w:r>
        <w:t xml:space="preserve">wzrostu </w:t>
      </w:r>
      <w:r w:rsidRPr="00776EEC">
        <w:t xml:space="preserve">płacy minimalnej jest większa od dynamiki </w:t>
      </w:r>
      <w:r>
        <w:t>wzrostu średniego wynagrodzenia</w:t>
      </w:r>
      <w:r w:rsidRPr="00776EEC">
        <w:t xml:space="preserve">. </w:t>
      </w:r>
      <w:r>
        <w:t>Tym samym zwiększa się udział płacy minimalnej w średnim wynagrodzeniu. Jest to pozytywny skutek, powodujący że płaca minimalna zbliża się do poziomu płacy godziwej. Szczególnie biorąc pod uwagę wysoki odsetek osób otrzymujących wynagrodzenie minimalne w naszym kraju.</w:t>
      </w:r>
    </w:p>
    <w:p w:rsidR="00BA68DF" w:rsidRDefault="00BA68DF" w:rsidP="00BA68DF">
      <w:pPr>
        <w:pStyle w:val="tekstsedalk"/>
      </w:pPr>
    </w:p>
    <w:p w:rsidR="00BA68DF" w:rsidRDefault="00BA68DF" w:rsidP="00BA68DF">
      <w:pPr>
        <w:pStyle w:val="tekstsedalk"/>
      </w:pPr>
    </w:p>
    <w:p w:rsidR="00BA68DF" w:rsidRDefault="00BA68DF" w:rsidP="00BA68DF">
      <w:pPr>
        <w:pStyle w:val="tekstsedalk"/>
      </w:pPr>
    </w:p>
    <w:p w:rsidR="00A31385" w:rsidRPr="0058086E" w:rsidRDefault="00A31385" w:rsidP="0058086E">
      <w:pPr>
        <w:pStyle w:val="tekstsedlak"/>
      </w:pPr>
    </w:p>
    <w:p w:rsidR="0000005A" w:rsidRPr="00A217F4" w:rsidRDefault="0000005A" w:rsidP="00BC1378">
      <w:pPr>
        <w:spacing w:line="276" w:lineRule="auto"/>
        <w:rPr>
          <w:rFonts w:asciiTheme="minorHAnsi" w:eastAsiaTheme="minorHAnsi" w:hAnsiTheme="minorHAnsi"/>
          <w:lang w:eastAsia="pl-PL"/>
        </w:rPr>
      </w:pPr>
    </w:p>
    <w:p w:rsidR="00C755CB" w:rsidRPr="00A217F4" w:rsidRDefault="003D0853" w:rsidP="00BC1378">
      <w:pPr>
        <w:pStyle w:val="aboutus"/>
        <w:spacing w:line="276" w:lineRule="auto"/>
        <w:ind w:left="0"/>
        <w:rPr>
          <w:rFonts w:asciiTheme="minorHAnsi" w:hAnsiTheme="minorHAnsi"/>
          <w:sz w:val="20"/>
          <w:szCs w:val="18"/>
        </w:rPr>
      </w:pP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36830</wp:posOffset>
                </wp:positionV>
                <wp:extent cx="5219700" cy="635"/>
                <wp:effectExtent l="0" t="0" r="19050" b="37465"/>
                <wp:wrapNone/>
                <wp:docPr id="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970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54628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A46BC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0;margin-top:2.9pt;width:411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Z3JQIAAD4EAAAOAAAAZHJzL2Uyb0RvYy54bWysU02P2yAQvVfqf0DcE9tZJ5tYcVYrO+ll&#10;20ba7Q8ggG1UDAhInKjqf+9APpRtL1XVCx48M2/ezDyWT8deogO3TmhV4mycYsQV1UyotsTf3jaj&#10;OUbOE8WI1IqX+MQdflp9/LAcTMEnutOScYsARLliMCXuvDdFkjja8Z64sTZcgbPRticerrZNmCUD&#10;oPcymaTpLBm0ZcZqyp2Dv/XZiVcRv2k49V+bxnGPZImBm4+njecunMlqSYrWEtMJeqFB/oFFT4SC&#10;ojeomniC9lb8AdULarXTjR9T3Se6aQTlsQfoJkt/6+a1I4bHXmA4ztzG5P4fLP1y2FokWIkfMVKk&#10;hxU9772OldE0jGcwroCoSm1taJAe1at50fS7Q0pXHVEtj8FvJwO5WchI3qWEizNQZDd81gxiCODH&#10;WR0b2wdImAI6xpWcbivhR48o/JxOssVjCpuj4Js9REYJKa6pxjr/ieseBaPEzlsi2s5XWilYvbZZ&#10;LEQOL84HYqS4JoS6Sm+ElFEBUqEB2C/SaRoznJaCBW+Ic7bdVdKiAwERTfPZZF7HNsFzH2b1XrGI&#10;1nHC1hfbEyHPNlSXKuBBb8DnYp1V8mORLtbz9Twf5ZPZepSndT163lT5aLbJHqf1Q11VdfYzUMvy&#10;ohOMcRXYXRWb5X+niMvbOWvtptnbHJL36HFgQPb6jaTjcsM+z8rYaXba2uvSQaQx+PKgwiu4v4N9&#10;/+xXvwAAAP//AwBQSwMEFAAGAAgAAAAhAHvzbKXYAAAABAEAAA8AAABkcnMvZG93bnJldi54bWxM&#10;j8FOwzAQRO9I/IO1SNyo01CqELKpoBInEBKFA0c3XpKIeB1sNw1/z3Kix6dZzbytNrMb1EQh9p4R&#10;losMFHHjbc8twvvb41UBKibD1gyeCeGHImzq87PKlNYf+ZWmXWqVlHAsDUKX0lhqHZuOnIkLPxJL&#10;9umDM0kwtNoGc5RyN+g8y9bamZ5loTMjbTtqvnYHh+A+Xqbldnqw+VNoC1o9r6/96hvx8mK+vwOV&#10;aE7/x/CnL+pQi9PeH9hGNSDIIwnhRvQlLPJceC98C7qu9Kl8/QsAAP//AwBQSwECLQAUAAYACAAA&#10;ACEAtoM4kv4AAADhAQAAEwAAAAAAAAAAAAAAAAAAAAAAW0NvbnRlbnRfVHlwZXNdLnhtbFBLAQIt&#10;ABQABgAIAAAAIQA4/SH/1gAAAJQBAAALAAAAAAAAAAAAAAAAAC8BAABfcmVscy8ucmVsc1BLAQIt&#10;ABQABgAIAAAAIQCMifZ3JQIAAD4EAAAOAAAAAAAAAAAAAAAAAC4CAABkcnMvZTJvRG9jLnhtbFBL&#10;AQItABQABgAIAAAAIQB782yl2AAAAAQBAAAPAAAAAAAAAAAAAAAAAH8EAABkcnMvZG93bnJldi54&#10;bWxQSwUGAAAAAAQABADzAAAAhAUAAAAA&#10;" strokecolor="#54628d" strokeweight="1.5pt"/>
            </w:pict>
          </mc:Fallback>
        </mc:AlternateContent>
      </w:r>
    </w:p>
    <w:p w:rsidR="008A5839" w:rsidRPr="00A217F4" w:rsidRDefault="008A5839" w:rsidP="00BC1378">
      <w:pPr>
        <w:pStyle w:val="aboutus"/>
        <w:spacing w:line="276" w:lineRule="auto"/>
        <w:ind w:left="0"/>
        <w:jc w:val="center"/>
        <w:rPr>
          <w:rFonts w:asciiTheme="minorHAnsi" w:hAnsiTheme="minorHAnsi"/>
          <w:sz w:val="20"/>
          <w:szCs w:val="18"/>
        </w:rPr>
      </w:pPr>
      <w:r w:rsidRPr="00A217F4">
        <w:rPr>
          <w:rFonts w:asciiTheme="minorHAnsi" w:hAnsiTheme="minorHAnsi"/>
          <w:b w:val="0"/>
          <w:bCs w:val="0"/>
          <w:noProof/>
          <w:sz w:val="20"/>
        </w:rPr>
        <w:drawing>
          <wp:inline distT="0" distB="0" distL="0" distR="0">
            <wp:extent cx="1619250" cy="200025"/>
            <wp:effectExtent l="0" t="0" r="0" b="0"/>
            <wp:docPr id="2" name="Obraz 2" descr="logo_wynagrodzenia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wynagrodzenia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74B4" w:rsidRPr="0058086E" w:rsidRDefault="00EA72FE" w:rsidP="0058086E">
      <w:pPr>
        <w:autoSpaceDE w:val="0"/>
        <w:autoSpaceDN w:val="0"/>
        <w:adjustRightInd w:val="0"/>
        <w:spacing w:before="240"/>
        <w:rPr>
          <w:rFonts w:ascii="Helv" w:eastAsia="Calibri" w:hAnsi="Helv" w:cs="Helv"/>
          <w:b/>
          <w:bCs/>
          <w:color w:val="000000"/>
          <w:sz w:val="20"/>
          <w:szCs w:val="20"/>
          <w:lang w:eastAsia="pl-PL"/>
        </w:rPr>
      </w:pPr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Sedlak </w:t>
      </w:r>
      <w:r w:rsidRPr="00A217F4">
        <w:rPr>
          <w:rFonts w:asciiTheme="minorHAnsi" w:eastAsia="Calibri" w:hAnsiTheme="minorHAnsi" w:cs="Calibri"/>
          <w:b/>
          <w:sz w:val="18"/>
          <w:lang w:eastAsia="pl-PL"/>
        </w:rPr>
        <w:t>&amp;</w:t>
      </w:r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 Sedlak wyraża zgodę na publikację niniejszego opracowania pod warunkiem powołania się na źródło: wynagrodzenia.pl oraz zamies</w:t>
      </w:r>
      <w:r w:rsidR="00070AED"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zczenie pod artykułem aktywnego </w:t>
      </w:r>
      <w:r w:rsidRPr="00A217F4">
        <w:rPr>
          <w:rFonts w:asciiTheme="minorHAnsi" w:eastAsia="Calibri" w:hAnsiTheme="minorHAnsi" w:cs="Calibri"/>
          <w:b/>
          <w:sz w:val="22"/>
          <w:lang w:eastAsia="pl-PL"/>
        </w:rPr>
        <w:t>linku do strony Ogól</w:t>
      </w:r>
      <w:r w:rsidR="00070AED" w:rsidRPr="00A217F4">
        <w:rPr>
          <w:rFonts w:asciiTheme="minorHAnsi" w:eastAsia="Calibri" w:hAnsiTheme="minorHAnsi" w:cs="Calibri"/>
          <w:b/>
          <w:sz w:val="22"/>
          <w:lang w:eastAsia="pl-PL"/>
        </w:rPr>
        <w:t>nopo</w:t>
      </w:r>
      <w:r w:rsidR="00877EA4">
        <w:rPr>
          <w:rFonts w:asciiTheme="minorHAnsi" w:eastAsia="Calibri" w:hAnsiTheme="minorHAnsi" w:cs="Calibri"/>
          <w:b/>
          <w:sz w:val="22"/>
          <w:lang w:eastAsia="pl-PL"/>
        </w:rPr>
        <w:t xml:space="preserve">lskiego Badania Wynagrodzeń </w:t>
      </w:r>
      <w:r w:rsidRPr="00A217F4">
        <w:rPr>
          <w:rFonts w:asciiTheme="minorHAnsi" w:eastAsia="Calibri" w:hAnsiTheme="minorHAnsi" w:cs="Calibri"/>
          <w:b/>
          <w:sz w:val="22"/>
          <w:lang w:eastAsia="pl-PL"/>
        </w:rPr>
        <w:t>(</w:t>
      </w:r>
      <w:hyperlink r:id="rId20" w:history="1">
        <w:r w:rsidR="000220E7" w:rsidRPr="000220E7">
          <w:rPr>
            <w:rStyle w:val="Hipercze"/>
            <w:rFonts w:ascii="Calibri" w:eastAsia="Calibri" w:hAnsi="Calibri" w:cs="Calibri"/>
            <w:b/>
            <w:bCs/>
            <w:sz w:val="22"/>
            <w:szCs w:val="22"/>
            <w:lang w:eastAsia="pl-PL"/>
          </w:rPr>
          <w:t>http://wynagrodzenia.pl/</w:t>
        </w:r>
        <w:r w:rsidR="000220E7" w:rsidRPr="000220E7">
          <w:rPr>
            <w:rStyle w:val="Hipercze"/>
            <w:rFonts w:ascii="Helv" w:eastAsia="Calibri" w:hAnsi="Helv" w:cs="Helv"/>
            <w:b/>
            <w:bCs/>
            <w:sz w:val="20"/>
            <w:szCs w:val="20"/>
            <w:lang w:eastAsia="pl-PL"/>
          </w:rPr>
          <w:t>t/ogolnopolskie-badanie-wynagrodzen-np</w:t>
        </w:r>
      </w:hyperlink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) czcionką nie mniejszą niż czcionka użyta w publikacji. </w:t>
      </w:r>
    </w:p>
    <w:sectPr w:rsidR="003974B4" w:rsidRPr="0058086E" w:rsidSect="00BA68DF">
      <w:headerReference w:type="default" r:id="rId21"/>
      <w:footerReference w:type="default" r:id="rId22"/>
      <w:pgSz w:w="11906" w:h="16838"/>
      <w:pgMar w:top="1950" w:right="1418" w:bottom="1985" w:left="1701" w:header="709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7A2" w:rsidRDefault="00B147A2">
      <w:r>
        <w:separator/>
      </w:r>
    </w:p>
  </w:endnote>
  <w:endnote w:type="continuationSeparator" w:id="0">
    <w:p w:rsidR="00B147A2" w:rsidRDefault="00B14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62A" w:rsidRDefault="003D0853">
    <w:pPr>
      <w:pStyle w:val="Stopka"/>
      <w:tabs>
        <w:tab w:val="clear" w:pos="4536"/>
        <w:tab w:val="left" w:pos="1985"/>
        <w:tab w:val="left" w:pos="4111"/>
      </w:tabs>
      <w:spacing w:line="360" w:lineRule="auto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noProof/>
        <w:color w:val="4F648B"/>
        <w:sz w:val="12"/>
        <w:szCs w:val="12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-127635</wp:posOffset>
              </wp:positionH>
              <wp:positionV relativeFrom="paragraph">
                <wp:posOffset>-16510</wp:posOffset>
              </wp:positionV>
              <wp:extent cx="635" cy="862965"/>
              <wp:effectExtent l="0" t="0" r="37465" b="32385"/>
              <wp:wrapNone/>
              <wp:docPr id="5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6296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2AA1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3267E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-10.05pt;margin-top:-1.3pt;width:.05pt;height:6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JnWJAIAAD0EAAAOAAAAZHJzL2Uyb0RvYy54bWysU02P2jAQvVfqf7B8Z/OxgUJEWKEEetl2&#10;kXb7A4ztJFYT27INAVX97x2bgJb2UlW9OGNn5s2bmTfLp1PfoSM3VihZ4OQhxohLqpiQTYG/vW0n&#10;c4ysI5KRTkle4DO3+Gn18cNy0DlPVas6xg0CEGnzQRe4dU7nUWRpy3tiH5TmEn7WyvTEwdU0ETNk&#10;APS+i9I4nkWDMkwbRbm18FpdfuJVwK9rTt1LXVvuUFdg4ObCacK592e0WpK8MUS3go40yD+w6ImQ&#10;kPQGVRFH0MGIP6B6QY2yqnYPVPWRqmtBeagBqkni36p5bYnmoRZojtW3Ntn/B0u/HncGCVbgKUaS&#10;9DCi9cGpkBkloT+Dtjm4lXJnfIX0JF/1s6LfLZKqbIlsePB+O2sITnxHo7sQf7EasuyHL4qBD4EE&#10;oVmn2vQeEtqATmEm59tM+MkhCo+zRyBG4X0+SxezaYAn+TVSG+s+c9UjbxTYOkNE07pSSQmjVyYJ&#10;ecjx2TrPi+TXAJ9Wqq3ouqCATqKhwItpOg0BVnWC+Z/ezZpmX3YGHQloaJOu18lmZHHnZtRBsgDW&#10;csI2o+2I6C42JO+kx4PKgM5oXUTyYxEvNvPNPJtk6WwzyeKqmqy3ZTaZbZNP0+qxKssq+empJVne&#10;Csa49Oyugk2yvxPEuDoXqd0ke2tDdI8e+gVkr99AOozWT9NvmM33ip135jpy0GhwHvfJL8H7O9jv&#10;t371CwAA//8DAFBLAwQUAAYACAAAACEA80g4jtkAAAAKAQAADwAAAGRycy9kb3ducmV2LnhtbEyP&#10;QWvDMAyF74P9B6PBbq3TBMLI4pRS1utg2XZ3YzUJs+Vgu0n676eetpuk9/H0Xr1fnRUzhjh6UrDb&#10;ZiCQOm9G6hV8fZ42LyBi0mS09YQKbhhh3zw+1LoyfqEPnNvUCzahWGkFQ0pTJWXsBnQ6bv2ExNrF&#10;B6cTr6GXJuiFzZ2VeZaV0umR+MOgJzwO2P20V6fgnb5Pa5ne+nnxbTA6l9beLko9P62HVxAJ1/QH&#10;wz0+R4eGM539lUwUVsEmz3aM3ocSBAN84HJnJouiANnU8n+F5hcAAP//AwBQSwECLQAUAAYACAAA&#10;ACEAtoM4kv4AAADhAQAAEwAAAAAAAAAAAAAAAAAAAAAAW0NvbnRlbnRfVHlwZXNdLnhtbFBLAQIt&#10;ABQABgAIAAAAIQA4/SH/1gAAAJQBAAALAAAAAAAAAAAAAAAAAC8BAABfcmVscy8ucmVsc1BLAQIt&#10;ABQABgAIAAAAIQAR8JnWJAIAAD0EAAAOAAAAAAAAAAAAAAAAAC4CAABkcnMvZTJvRG9jLnhtbFBL&#10;AQItABQABgAIAAAAIQDzSDiO2QAAAAoBAAAPAAAAAAAAAAAAAAAAAH4EAABkcnMvZG93bnJldi54&#10;bWxQSwUGAAAAAAQABADzAAAAhAUAAAAA&#10;" strokecolor="#e2aa1e"/>
          </w:pict>
        </mc:Fallback>
      </mc:AlternateContent>
    </w:r>
    <w:r w:rsidR="0007162A">
      <w:rPr>
        <w:rFonts w:ascii="Arial" w:hAnsi="Arial" w:cs="Arial"/>
        <w:color w:val="4F648B"/>
        <w:sz w:val="12"/>
        <w:szCs w:val="12"/>
      </w:rPr>
      <w:t xml:space="preserve">Sedlak </w:t>
    </w:r>
    <w:r w:rsidR="0007162A">
      <w:rPr>
        <w:rFonts w:ascii="Arial" w:hAnsi="Arial" w:cs="Arial"/>
        <w:color w:val="4F648B"/>
        <w:sz w:val="10"/>
        <w:szCs w:val="10"/>
      </w:rPr>
      <w:t>&amp;</w:t>
    </w:r>
    <w:r w:rsidR="0007162A">
      <w:rPr>
        <w:rFonts w:ascii="Arial" w:hAnsi="Arial" w:cs="Arial"/>
        <w:color w:val="4F648B"/>
        <w:sz w:val="12"/>
        <w:szCs w:val="12"/>
      </w:rPr>
      <w:t xml:space="preserve"> Sedlak</w:t>
    </w:r>
    <w:r w:rsidR="0007162A">
      <w:rPr>
        <w:rFonts w:ascii="Arial" w:hAnsi="Arial" w:cs="Arial"/>
        <w:color w:val="4F648B"/>
        <w:sz w:val="12"/>
        <w:szCs w:val="12"/>
      </w:rPr>
      <w:tab/>
      <w:t>tel. +48 12 625 59 10</w:t>
    </w:r>
    <w:r w:rsidR="0007162A">
      <w:rPr>
        <w:rFonts w:ascii="Arial" w:hAnsi="Arial" w:cs="Arial"/>
        <w:color w:val="4F648B"/>
        <w:sz w:val="12"/>
        <w:szCs w:val="12"/>
      </w:rPr>
      <w:tab/>
      <w:t>www.sedlak.pl</w:t>
    </w:r>
    <w:r w:rsidR="0007162A">
      <w:rPr>
        <w:rFonts w:ascii="Arial" w:hAnsi="Arial" w:cs="Arial"/>
        <w:color w:val="4F648B"/>
        <w:sz w:val="12"/>
        <w:szCs w:val="12"/>
      </w:rPr>
      <w:br/>
      <w:t>ul. Królowej Jadwigi 189 B</w:t>
    </w:r>
    <w:r w:rsidR="0007162A">
      <w:rPr>
        <w:rFonts w:ascii="Arial" w:hAnsi="Arial" w:cs="Arial"/>
        <w:color w:val="4F648B"/>
        <w:sz w:val="12"/>
        <w:szCs w:val="12"/>
      </w:rPr>
      <w:tab/>
      <w:t>fax +48 12 625 59 20</w:t>
    </w:r>
    <w:r w:rsidR="0007162A">
      <w:rPr>
        <w:rFonts w:ascii="Arial" w:hAnsi="Arial" w:cs="Arial"/>
        <w:color w:val="4F648B"/>
        <w:sz w:val="12"/>
        <w:szCs w:val="12"/>
      </w:rPr>
      <w:tab/>
      <w:t>www.rynekpracy.pl</w:t>
    </w:r>
  </w:p>
  <w:p w:rsidR="0007162A" w:rsidRDefault="0007162A">
    <w:pPr>
      <w:pStyle w:val="Stopka"/>
      <w:tabs>
        <w:tab w:val="clear" w:pos="4536"/>
        <w:tab w:val="left" w:pos="1985"/>
        <w:tab w:val="left" w:pos="4111"/>
      </w:tabs>
      <w:spacing w:line="360" w:lineRule="auto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color w:val="4F648B"/>
        <w:sz w:val="12"/>
        <w:szCs w:val="12"/>
      </w:rPr>
      <w:t xml:space="preserve">30-220 Kraków </w:t>
    </w:r>
    <w:r>
      <w:rPr>
        <w:rFonts w:ascii="Arial" w:hAnsi="Arial" w:cs="Arial"/>
        <w:color w:val="4F648B"/>
        <w:sz w:val="12"/>
        <w:szCs w:val="12"/>
      </w:rPr>
      <w:tab/>
      <w:t>sedlak@sedlak.pl</w:t>
    </w:r>
    <w:r>
      <w:rPr>
        <w:rFonts w:ascii="Arial" w:hAnsi="Arial" w:cs="Arial"/>
        <w:color w:val="4F648B"/>
        <w:sz w:val="12"/>
        <w:szCs w:val="12"/>
      </w:rPr>
      <w:tab/>
      <w:t>www.wynagrodzenia.pl</w:t>
    </w:r>
  </w:p>
  <w:p w:rsidR="0007162A" w:rsidRDefault="0007162A">
    <w:pPr>
      <w:pStyle w:val="Stopka"/>
      <w:tabs>
        <w:tab w:val="clear" w:pos="4536"/>
        <w:tab w:val="left" w:pos="1418"/>
      </w:tabs>
      <w:spacing w:line="360" w:lineRule="auto"/>
      <w:ind w:left="-1843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color w:val="4F648B"/>
        <w:sz w:val="12"/>
        <w:szCs w:val="12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7A2" w:rsidRDefault="00B147A2">
      <w:r>
        <w:separator/>
      </w:r>
    </w:p>
  </w:footnote>
  <w:footnote w:type="continuationSeparator" w:id="0">
    <w:p w:rsidR="00B147A2" w:rsidRDefault="00B147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62A" w:rsidRDefault="0007162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-59055</wp:posOffset>
          </wp:positionH>
          <wp:positionV relativeFrom="paragraph">
            <wp:posOffset>197485</wp:posOffset>
          </wp:positionV>
          <wp:extent cx="1920875" cy="257175"/>
          <wp:effectExtent l="19050" t="0" r="3175" b="0"/>
          <wp:wrapNone/>
          <wp:docPr id="15" name="Obraz 15" descr="logo_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_papi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875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D0853">
      <w:rPr>
        <w:rFonts w:ascii="Arial" w:hAnsi="Arial" w:cs="Arial"/>
        <w:noProof/>
        <w:color w:val="4F648B"/>
        <w:sz w:val="12"/>
        <w:szCs w:val="12"/>
        <w:lang w:eastAsia="pl-PL"/>
      </w:rPr>
      <mc:AlternateContent>
        <mc:Choice Requires="wps">
          <w:drawing>
            <wp:anchor distT="0" distB="0" distL="114298" distR="114298" simplePos="0" relativeHeight="251658752" behindDoc="0" locked="0" layoutInCell="1" allowOverlap="1">
              <wp:simplePos x="0" y="0"/>
              <wp:positionH relativeFrom="column">
                <wp:posOffset>-127636</wp:posOffset>
              </wp:positionH>
              <wp:positionV relativeFrom="paragraph">
                <wp:posOffset>-189865</wp:posOffset>
              </wp:positionV>
              <wp:extent cx="0" cy="644525"/>
              <wp:effectExtent l="0" t="0" r="19050" b="22225"/>
              <wp:wrapNone/>
              <wp:docPr id="6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44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2AA1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6A45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-10.05pt;margin-top:-14.95pt;width:0;height:50.75pt;z-index:25165875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iWnHgIAADsEAAAOAAAAZHJzL2Uyb0RvYy54bWysU82O2jAQvlfqO1i+QxIaKESEFUqgl22L&#10;tNsHMLaTWE1syzYEVPXdO3YCLe2lqnqxPZ6Zb775Wz9duhadubFCyRwn0xgjLqliQtY5/vK6nywx&#10;so5IRloleY6v3OKnzds3615nfKYa1TJuEIBIm/U6x41zOosiSxveETtVmktQVsp0xIFo6ogZ0gN6&#10;10azOF5EvTJMG0W5tfBbDkq8CfhVxan7XFWWO9TmGLi5cJpwHv0ZbdYkqw3RjaAjDfIPLDoiJAS9&#10;Q5XEEXQy4g+oTlCjrKrclKouUlUlKA85QDZJ/Fs2Lw3RPOQCxbH6Xib7/2Dpp/PBIMFyvMBIkg5a&#10;tD05FSKjJPH16bXNwKyQB+MzpBf5op8V/WqRVEVDZM2D9etVg3PwiB5cvGA1RDn2HxUDGwIBQrEu&#10;lek8JJQBXUJPrvee8ItDdPik8LtI0/ls7ulEJLv5aWPdB6465B85ts4QUTeuUFJC45VJQhRyfrZu&#10;cLw5+KBS7UXbhv63EvU5XvkAXmNVK5hXBsHUx6I16Exggnaz7TbZjSwezIw6SRbAGk7Ybnw7Itrh&#10;Daxb6fEgL6AzvoYR+baKV7vlbplO0tliN0njspxs90U6WeyT9/PyXVkUZfLdU0vSrBGMcenZ3cY1&#10;Sf9uHMbFGQbtPrD3MkSP6KHQQPZ2B9Khsb6Xw1QcFbsejC+t7zFMaDAet8mvwK9ysPq585sfAAAA&#10;//8DAFBLAwQUAAYACAAAACEAtreYWtkAAAAKAQAADwAAAGRycy9kb3ducmV2LnhtbEyPTU/DMAyG&#10;70j8h8hI3La0PRRWmk4IsSsSBe5e47UViVMlWdv9ezJxgJs/Hr1+XO9Xa8RMPoyOFeTbDARx5/TI&#10;vYLPj8PmEUSIyBqNY1JwoQD75vamxkq7hd9pbmMvUgiHChUMMU6VlKEbyGLYuok47U7OW4yp9b3U&#10;HpcUbo0ssqyUFkdOFwac6GWg7rs9WwVv/HVYy/jaz4trvcZCGnM5KXV/tz4/gYi0xj8YrvpJHZrk&#10;dHRn1kEYBZsiyxN6LXY7EIn4nRwVPOQlyKaW/19ofgAAAP//AwBQSwECLQAUAAYACAAAACEAtoM4&#10;kv4AAADhAQAAEwAAAAAAAAAAAAAAAAAAAAAAW0NvbnRlbnRfVHlwZXNdLnhtbFBLAQItABQABgAI&#10;AAAAIQA4/SH/1gAAAJQBAAALAAAAAAAAAAAAAAAAAC8BAABfcmVscy8ucmVsc1BLAQItABQABgAI&#10;AAAAIQBbbiWnHgIAADsEAAAOAAAAAAAAAAAAAAAAAC4CAABkcnMvZTJvRG9jLnhtbFBLAQItABQA&#10;BgAIAAAAIQC2t5ha2QAAAAoBAAAPAAAAAAAAAAAAAAAAAHgEAABkcnMvZG93bnJldi54bWxQSwUG&#10;AAAAAAQABADzAAAAfgUAAAAA&#10;" strokecolor="#e2aa1e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F517C"/>
    <w:multiLevelType w:val="hybridMultilevel"/>
    <w:tmpl w:val="8724F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16115"/>
    <w:multiLevelType w:val="multilevel"/>
    <w:tmpl w:val="46409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5C274F"/>
    <w:multiLevelType w:val="multilevel"/>
    <w:tmpl w:val="810C0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0A3883"/>
    <w:multiLevelType w:val="multilevel"/>
    <w:tmpl w:val="723A8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6F58B3"/>
    <w:multiLevelType w:val="hybridMultilevel"/>
    <w:tmpl w:val="03923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7B093F"/>
    <w:multiLevelType w:val="hybridMultilevel"/>
    <w:tmpl w:val="AD1200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017778"/>
    <w:multiLevelType w:val="multilevel"/>
    <w:tmpl w:val="1AFA4A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3E5754"/>
    <w:multiLevelType w:val="hybridMultilevel"/>
    <w:tmpl w:val="1ADCC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C937C8"/>
    <w:multiLevelType w:val="hybridMultilevel"/>
    <w:tmpl w:val="483EC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A87EC1"/>
    <w:multiLevelType w:val="hybridMultilevel"/>
    <w:tmpl w:val="FCEEF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9E61D4"/>
    <w:multiLevelType w:val="hybridMultilevel"/>
    <w:tmpl w:val="B49A0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59379D"/>
    <w:multiLevelType w:val="multilevel"/>
    <w:tmpl w:val="71821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A0215E1"/>
    <w:multiLevelType w:val="multilevel"/>
    <w:tmpl w:val="2B4C7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A3C4496"/>
    <w:multiLevelType w:val="hybridMultilevel"/>
    <w:tmpl w:val="8FBA7786"/>
    <w:lvl w:ilvl="0" w:tplc="6EA2CFB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C92ADB"/>
    <w:multiLevelType w:val="multilevel"/>
    <w:tmpl w:val="BA4C9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0547E8F"/>
    <w:multiLevelType w:val="hybridMultilevel"/>
    <w:tmpl w:val="3230B264"/>
    <w:lvl w:ilvl="0" w:tplc="381A85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8C13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37097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43AEE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BE403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3E85A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90E67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2249E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F22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40462B7"/>
    <w:multiLevelType w:val="multilevel"/>
    <w:tmpl w:val="8B48D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4DD6664"/>
    <w:multiLevelType w:val="multilevel"/>
    <w:tmpl w:val="BA4A5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59A2C4B"/>
    <w:multiLevelType w:val="hybridMultilevel"/>
    <w:tmpl w:val="E97A9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412B4E"/>
    <w:multiLevelType w:val="multilevel"/>
    <w:tmpl w:val="2BB2A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1081A63"/>
    <w:multiLevelType w:val="hybridMultilevel"/>
    <w:tmpl w:val="0FE41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9435B9"/>
    <w:multiLevelType w:val="hybridMultilevel"/>
    <w:tmpl w:val="9FF60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AD131C"/>
    <w:multiLevelType w:val="hybridMultilevel"/>
    <w:tmpl w:val="BFB2B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7"/>
  </w:num>
  <w:num w:numId="4">
    <w:abstractNumId w:val="13"/>
  </w:num>
  <w:num w:numId="5">
    <w:abstractNumId w:val="10"/>
  </w:num>
  <w:num w:numId="6">
    <w:abstractNumId w:val="22"/>
  </w:num>
  <w:num w:numId="7">
    <w:abstractNumId w:val="19"/>
  </w:num>
  <w:num w:numId="8">
    <w:abstractNumId w:val="6"/>
  </w:num>
  <w:num w:numId="9">
    <w:abstractNumId w:val="0"/>
  </w:num>
  <w:num w:numId="10">
    <w:abstractNumId w:val="4"/>
  </w:num>
  <w:num w:numId="11">
    <w:abstractNumId w:val="16"/>
  </w:num>
  <w:num w:numId="12">
    <w:abstractNumId w:val="12"/>
  </w:num>
  <w:num w:numId="13">
    <w:abstractNumId w:val="1"/>
  </w:num>
  <w:num w:numId="14">
    <w:abstractNumId w:val="2"/>
  </w:num>
  <w:num w:numId="15">
    <w:abstractNumId w:val="17"/>
  </w:num>
  <w:num w:numId="16">
    <w:abstractNumId w:val="11"/>
  </w:num>
  <w:num w:numId="17">
    <w:abstractNumId w:val="21"/>
  </w:num>
  <w:num w:numId="18">
    <w:abstractNumId w:val="14"/>
  </w:num>
  <w:num w:numId="19">
    <w:abstractNumId w:val="18"/>
  </w:num>
  <w:num w:numId="20">
    <w:abstractNumId w:val="8"/>
  </w:num>
  <w:num w:numId="21">
    <w:abstractNumId w:val="5"/>
  </w:num>
  <w:num w:numId="22">
    <w:abstractNumId w:val="9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 strokecolor="#54628d">
      <v:stroke color="#54628d" weight="1.5pt"/>
      <o:colormru v:ext="edit" colors="#e2aa1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812"/>
    <w:rsid w:val="0000005A"/>
    <w:rsid w:val="00000F26"/>
    <w:rsid w:val="0000157E"/>
    <w:rsid w:val="00011D89"/>
    <w:rsid w:val="00011F76"/>
    <w:rsid w:val="00013B3F"/>
    <w:rsid w:val="00017A00"/>
    <w:rsid w:val="00020694"/>
    <w:rsid w:val="00021177"/>
    <w:rsid w:val="000220E7"/>
    <w:rsid w:val="00033E7A"/>
    <w:rsid w:val="00035685"/>
    <w:rsid w:val="0004176F"/>
    <w:rsid w:val="00043BA9"/>
    <w:rsid w:val="000447AA"/>
    <w:rsid w:val="00046455"/>
    <w:rsid w:val="0004729F"/>
    <w:rsid w:val="00053C6B"/>
    <w:rsid w:val="00054F2C"/>
    <w:rsid w:val="00056179"/>
    <w:rsid w:val="00057133"/>
    <w:rsid w:val="00065B99"/>
    <w:rsid w:val="00065F9C"/>
    <w:rsid w:val="00070AED"/>
    <w:rsid w:val="0007162A"/>
    <w:rsid w:val="00072FCA"/>
    <w:rsid w:val="00074290"/>
    <w:rsid w:val="0007565C"/>
    <w:rsid w:val="00076D55"/>
    <w:rsid w:val="0007765D"/>
    <w:rsid w:val="0008501D"/>
    <w:rsid w:val="0008540A"/>
    <w:rsid w:val="000A2D4F"/>
    <w:rsid w:val="000A396D"/>
    <w:rsid w:val="000A622D"/>
    <w:rsid w:val="000A7411"/>
    <w:rsid w:val="000A7AEB"/>
    <w:rsid w:val="000B21C5"/>
    <w:rsid w:val="000B25B1"/>
    <w:rsid w:val="000B29BE"/>
    <w:rsid w:val="000B4476"/>
    <w:rsid w:val="000B44A1"/>
    <w:rsid w:val="000B6328"/>
    <w:rsid w:val="000B63B0"/>
    <w:rsid w:val="000C01A7"/>
    <w:rsid w:val="000C08B6"/>
    <w:rsid w:val="000C0CB9"/>
    <w:rsid w:val="000C0E83"/>
    <w:rsid w:val="000C1B5D"/>
    <w:rsid w:val="000C2BDF"/>
    <w:rsid w:val="000C743A"/>
    <w:rsid w:val="000D470B"/>
    <w:rsid w:val="000D5C6E"/>
    <w:rsid w:val="000D659F"/>
    <w:rsid w:val="000D71CE"/>
    <w:rsid w:val="000E0C28"/>
    <w:rsid w:val="000E146A"/>
    <w:rsid w:val="000E27BC"/>
    <w:rsid w:val="000E4739"/>
    <w:rsid w:val="000F5029"/>
    <w:rsid w:val="00104807"/>
    <w:rsid w:val="0010695E"/>
    <w:rsid w:val="001070E5"/>
    <w:rsid w:val="00110DE1"/>
    <w:rsid w:val="001148E8"/>
    <w:rsid w:val="00125F6B"/>
    <w:rsid w:val="00126B2C"/>
    <w:rsid w:val="00126F9A"/>
    <w:rsid w:val="001341F5"/>
    <w:rsid w:val="00134DC6"/>
    <w:rsid w:val="00140A4B"/>
    <w:rsid w:val="00145C4D"/>
    <w:rsid w:val="00150032"/>
    <w:rsid w:val="00150A0F"/>
    <w:rsid w:val="0015321A"/>
    <w:rsid w:val="00156DA7"/>
    <w:rsid w:val="0015783F"/>
    <w:rsid w:val="00165E75"/>
    <w:rsid w:val="00171840"/>
    <w:rsid w:val="00171A3E"/>
    <w:rsid w:val="00174304"/>
    <w:rsid w:val="00174C32"/>
    <w:rsid w:val="0017528D"/>
    <w:rsid w:val="00182578"/>
    <w:rsid w:val="00183F7E"/>
    <w:rsid w:val="001856B5"/>
    <w:rsid w:val="00185BF8"/>
    <w:rsid w:val="00193068"/>
    <w:rsid w:val="00195689"/>
    <w:rsid w:val="001A033F"/>
    <w:rsid w:val="001A16B2"/>
    <w:rsid w:val="001A1C71"/>
    <w:rsid w:val="001B0643"/>
    <w:rsid w:val="001B196A"/>
    <w:rsid w:val="001B321F"/>
    <w:rsid w:val="001C4D42"/>
    <w:rsid w:val="001D145C"/>
    <w:rsid w:val="001D2559"/>
    <w:rsid w:val="001D406E"/>
    <w:rsid w:val="001D469A"/>
    <w:rsid w:val="001D6473"/>
    <w:rsid w:val="001D64D0"/>
    <w:rsid w:val="001E1C72"/>
    <w:rsid w:val="001E4FBA"/>
    <w:rsid w:val="001E681A"/>
    <w:rsid w:val="001F0C21"/>
    <w:rsid w:val="001F1B2A"/>
    <w:rsid w:val="001F4A14"/>
    <w:rsid w:val="001F786C"/>
    <w:rsid w:val="00212B6F"/>
    <w:rsid w:val="00212D95"/>
    <w:rsid w:val="00213CF8"/>
    <w:rsid w:val="00215F9E"/>
    <w:rsid w:val="002209F7"/>
    <w:rsid w:val="00224816"/>
    <w:rsid w:val="00227337"/>
    <w:rsid w:val="00233678"/>
    <w:rsid w:val="002338EC"/>
    <w:rsid w:val="00236190"/>
    <w:rsid w:val="0024085C"/>
    <w:rsid w:val="00246164"/>
    <w:rsid w:val="0024643F"/>
    <w:rsid w:val="0024733C"/>
    <w:rsid w:val="002511D5"/>
    <w:rsid w:val="00251B52"/>
    <w:rsid w:val="00251BF1"/>
    <w:rsid w:val="0025325F"/>
    <w:rsid w:val="00253DFE"/>
    <w:rsid w:val="00253FD1"/>
    <w:rsid w:val="00254A61"/>
    <w:rsid w:val="002620E3"/>
    <w:rsid w:val="00283CA9"/>
    <w:rsid w:val="00284A21"/>
    <w:rsid w:val="002874B6"/>
    <w:rsid w:val="00294F3E"/>
    <w:rsid w:val="002A12E3"/>
    <w:rsid w:val="002A3C85"/>
    <w:rsid w:val="002A7807"/>
    <w:rsid w:val="002B3583"/>
    <w:rsid w:val="002B3C18"/>
    <w:rsid w:val="002B6682"/>
    <w:rsid w:val="002C2CB9"/>
    <w:rsid w:val="002D0876"/>
    <w:rsid w:val="002D0F3D"/>
    <w:rsid w:val="002D352D"/>
    <w:rsid w:val="002D7055"/>
    <w:rsid w:val="002E18BF"/>
    <w:rsid w:val="002F06D9"/>
    <w:rsid w:val="002F18B2"/>
    <w:rsid w:val="002F52E5"/>
    <w:rsid w:val="002F7E8A"/>
    <w:rsid w:val="00303FFA"/>
    <w:rsid w:val="003133CE"/>
    <w:rsid w:val="00313A17"/>
    <w:rsid w:val="00313B7F"/>
    <w:rsid w:val="00314697"/>
    <w:rsid w:val="0032183C"/>
    <w:rsid w:val="00325771"/>
    <w:rsid w:val="0033554D"/>
    <w:rsid w:val="00336B92"/>
    <w:rsid w:val="00340A66"/>
    <w:rsid w:val="003429B3"/>
    <w:rsid w:val="003444E1"/>
    <w:rsid w:val="0034458E"/>
    <w:rsid w:val="00346738"/>
    <w:rsid w:val="00353B31"/>
    <w:rsid w:val="00354444"/>
    <w:rsid w:val="0036020E"/>
    <w:rsid w:val="0036232C"/>
    <w:rsid w:val="00363197"/>
    <w:rsid w:val="0037333D"/>
    <w:rsid w:val="00374BE4"/>
    <w:rsid w:val="0037652C"/>
    <w:rsid w:val="003777A1"/>
    <w:rsid w:val="003866A1"/>
    <w:rsid w:val="00387A68"/>
    <w:rsid w:val="00387BF1"/>
    <w:rsid w:val="00392543"/>
    <w:rsid w:val="00395CCB"/>
    <w:rsid w:val="003974B4"/>
    <w:rsid w:val="003A443A"/>
    <w:rsid w:val="003A73F1"/>
    <w:rsid w:val="003B1BE0"/>
    <w:rsid w:val="003B35F2"/>
    <w:rsid w:val="003B5D5E"/>
    <w:rsid w:val="003C1054"/>
    <w:rsid w:val="003C5113"/>
    <w:rsid w:val="003C54DE"/>
    <w:rsid w:val="003D0853"/>
    <w:rsid w:val="003D47FF"/>
    <w:rsid w:val="003D484D"/>
    <w:rsid w:val="003D5828"/>
    <w:rsid w:val="003E60DE"/>
    <w:rsid w:val="003F0DD5"/>
    <w:rsid w:val="003F6B6D"/>
    <w:rsid w:val="003F7B02"/>
    <w:rsid w:val="003F7CD4"/>
    <w:rsid w:val="004016EC"/>
    <w:rsid w:val="004200D7"/>
    <w:rsid w:val="00420393"/>
    <w:rsid w:val="004278AD"/>
    <w:rsid w:val="00427EFD"/>
    <w:rsid w:val="00442786"/>
    <w:rsid w:val="0044507B"/>
    <w:rsid w:val="00452112"/>
    <w:rsid w:val="00454EFA"/>
    <w:rsid w:val="00460787"/>
    <w:rsid w:val="0046147C"/>
    <w:rsid w:val="004616DA"/>
    <w:rsid w:val="00466AC7"/>
    <w:rsid w:val="00472479"/>
    <w:rsid w:val="004761BB"/>
    <w:rsid w:val="00480877"/>
    <w:rsid w:val="00481BE8"/>
    <w:rsid w:val="0048505B"/>
    <w:rsid w:val="00487F9C"/>
    <w:rsid w:val="00490679"/>
    <w:rsid w:val="00493681"/>
    <w:rsid w:val="004A0D01"/>
    <w:rsid w:val="004A45E5"/>
    <w:rsid w:val="004A6E23"/>
    <w:rsid w:val="004A7C8C"/>
    <w:rsid w:val="004B17E0"/>
    <w:rsid w:val="004B677A"/>
    <w:rsid w:val="004C0B07"/>
    <w:rsid w:val="004C2A2D"/>
    <w:rsid w:val="004C4F9D"/>
    <w:rsid w:val="004C6491"/>
    <w:rsid w:val="004C7D5A"/>
    <w:rsid w:val="004D39E8"/>
    <w:rsid w:val="004D3BF3"/>
    <w:rsid w:val="004D49D1"/>
    <w:rsid w:val="004F00D3"/>
    <w:rsid w:val="005078F7"/>
    <w:rsid w:val="005111D8"/>
    <w:rsid w:val="00514744"/>
    <w:rsid w:val="00526EBB"/>
    <w:rsid w:val="0052750E"/>
    <w:rsid w:val="005316C8"/>
    <w:rsid w:val="00537F5A"/>
    <w:rsid w:val="00542392"/>
    <w:rsid w:val="00545D3A"/>
    <w:rsid w:val="00552191"/>
    <w:rsid w:val="0056083F"/>
    <w:rsid w:val="0057587E"/>
    <w:rsid w:val="0058086E"/>
    <w:rsid w:val="00582349"/>
    <w:rsid w:val="00582F2E"/>
    <w:rsid w:val="00583E49"/>
    <w:rsid w:val="0058642C"/>
    <w:rsid w:val="00590BA0"/>
    <w:rsid w:val="00592555"/>
    <w:rsid w:val="00596EBC"/>
    <w:rsid w:val="0059743E"/>
    <w:rsid w:val="005A10D4"/>
    <w:rsid w:val="005A7228"/>
    <w:rsid w:val="005C0812"/>
    <w:rsid w:val="005C0C4A"/>
    <w:rsid w:val="005C2F0F"/>
    <w:rsid w:val="005C5696"/>
    <w:rsid w:val="005C60A6"/>
    <w:rsid w:val="005C7E59"/>
    <w:rsid w:val="005D4D03"/>
    <w:rsid w:val="005D71FC"/>
    <w:rsid w:val="005D73CA"/>
    <w:rsid w:val="005E6578"/>
    <w:rsid w:val="005E6716"/>
    <w:rsid w:val="0060213D"/>
    <w:rsid w:val="0060721F"/>
    <w:rsid w:val="00607ED4"/>
    <w:rsid w:val="006157AE"/>
    <w:rsid w:val="0062174A"/>
    <w:rsid w:val="00622EDE"/>
    <w:rsid w:val="006232E5"/>
    <w:rsid w:val="006249D3"/>
    <w:rsid w:val="00627DF2"/>
    <w:rsid w:val="0063766E"/>
    <w:rsid w:val="00640874"/>
    <w:rsid w:val="0064290F"/>
    <w:rsid w:val="0064418A"/>
    <w:rsid w:val="00644723"/>
    <w:rsid w:val="006470E5"/>
    <w:rsid w:val="00657E85"/>
    <w:rsid w:val="00662A81"/>
    <w:rsid w:val="0066353F"/>
    <w:rsid w:val="00670A17"/>
    <w:rsid w:val="00673C2D"/>
    <w:rsid w:val="0067729F"/>
    <w:rsid w:val="006812B2"/>
    <w:rsid w:val="0068362B"/>
    <w:rsid w:val="0068464B"/>
    <w:rsid w:val="006A0B1B"/>
    <w:rsid w:val="006A1003"/>
    <w:rsid w:val="006A2F73"/>
    <w:rsid w:val="006B089C"/>
    <w:rsid w:val="006C3C5A"/>
    <w:rsid w:val="006D03DA"/>
    <w:rsid w:val="006D076E"/>
    <w:rsid w:val="006D3991"/>
    <w:rsid w:val="006E21D8"/>
    <w:rsid w:val="006E2920"/>
    <w:rsid w:val="006F1A40"/>
    <w:rsid w:val="006F44D4"/>
    <w:rsid w:val="006F4843"/>
    <w:rsid w:val="006F6577"/>
    <w:rsid w:val="006F7B94"/>
    <w:rsid w:val="006F7D00"/>
    <w:rsid w:val="00700235"/>
    <w:rsid w:val="00702ABD"/>
    <w:rsid w:val="0070322E"/>
    <w:rsid w:val="00704253"/>
    <w:rsid w:val="00711B6A"/>
    <w:rsid w:val="00733219"/>
    <w:rsid w:val="00735EE7"/>
    <w:rsid w:val="00736597"/>
    <w:rsid w:val="00737915"/>
    <w:rsid w:val="00744380"/>
    <w:rsid w:val="00745D9C"/>
    <w:rsid w:val="00746A5C"/>
    <w:rsid w:val="0075073F"/>
    <w:rsid w:val="007508B4"/>
    <w:rsid w:val="00750C95"/>
    <w:rsid w:val="0075321F"/>
    <w:rsid w:val="007533E8"/>
    <w:rsid w:val="00753CB3"/>
    <w:rsid w:val="00755864"/>
    <w:rsid w:val="0076436E"/>
    <w:rsid w:val="00764486"/>
    <w:rsid w:val="0077201F"/>
    <w:rsid w:val="0077598D"/>
    <w:rsid w:val="00777AE4"/>
    <w:rsid w:val="00780F8F"/>
    <w:rsid w:val="00782F94"/>
    <w:rsid w:val="007918E1"/>
    <w:rsid w:val="00792EBD"/>
    <w:rsid w:val="007A6054"/>
    <w:rsid w:val="007A7E53"/>
    <w:rsid w:val="007B5839"/>
    <w:rsid w:val="007C29D2"/>
    <w:rsid w:val="007C5EA1"/>
    <w:rsid w:val="007D3F41"/>
    <w:rsid w:val="007D4E4A"/>
    <w:rsid w:val="007D6E2F"/>
    <w:rsid w:val="007E70B5"/>
    <w:rsid w:val="007F38A1"/>
    <w:rsid w:val="007F4398"/>
    <w:rsid w:val="007F5138"/>
    <w:rsid w:val="007F51CD"/>
    <w:rsid w:val="00803F7F"/>
    <w:rsid w:val="00805DAA"/>
    <w:rsid w:val="00820A6F"/>
    <w:rsid w:val="00820DA2"/>
    <w:rsid w:val="0082710F"/>
    <w:rsid w:val="008271C7"/>
    <w:rsid w:val="008328ED"/>
    <w:rsid w:val="00843FE8"/>
    <w:rsid w:val="008479DF"/>
    <w:rsid w:val="00850D62"/>
    <w:rsid w:val="00852F2A"/>
    <w:rsid w:val="008531FC"/>
    <w:rsid w:val="00853CC5"/>
    <w:rsid w:val="00863203"/>
    <w:rsid w:val="00874486"/>
    <w:rsid w:val="00877EA4"/>
    <w:rsid w:val="008811D5"/>
    <w:rsid w:val="00881459"/>
    <w:rsid w:val="00884B40"/>
    <w:rsid w:val="00884F06"/>
    <w:rsid w:val="00885A52"/>
    <w:rsid w:val="008A0C2E"/>
    <w:rsid w:val="008A1211"/>
    <w:rsid w:val="008A34A9"/>
    <w:rsid w:val="008A43AF"/>
    <w:rsid w:val="008A5839"/>
    <w:rsid w:val="008B4C9C"/>
    <w:rsid w:val="008B5AD9"/>
    <w:rsid w:val="008C7AC7"/>
    <w:rsid w:val="008D771C"/>
    <w:rsid w:val="008E2F02"/>
    <w:rsid w:val="008E7D39"/>
    <w:rsid w:val="008F1503"/>
    <w:rsid w:val="008F2489"/>
    <w:rsid w:val="008F52EC"/>
    <w:rsid w:val="008F76A0"/>
    <w:rsid w:val="009051BC"/>
    <w:rsid w:val="009119CF"/>
    <w:rsid w:val="00916298"/>
    <w:rsid w:val="009165AA"/>
    <w:rsid w:val="0092156E"/>
    <w:rsid w:val="00921A5E"/>
    <w:rsid w:val="00926314"/>
    <w:rsid w:val="0092702C"/>
    <w:rsid w:val="009343BF"/>
    <w:rsid w:val="00942DDE"/>
    <w:rsid w:val="00942E68"/>
    <w:rsid w:val="00943974"/>
    <w:rsid w:val="00943A73"/>
    <w:rsid w:val="00947966"/>
    <w:rsid w:val="00947B86"/>
    <w:rsid w:val="009505C9"/>
    <w:rsid w:val="00952A3D"/>
    <w:rsid w:val="00954813"/>
    <w:rsid w:val="00972C40"/>
    <w:rsid w:val="00973AAD"/>
    <w:rsid w:val="00977B10"/>
    <w:rsid w:val="00981F9F"/>
    <w:rsid w:val="0098393C"/>
    <w:rsid w:val="009921C1"/>
    <w:rsid w:val="00992F8B"/>
    <w:rsid w:val="00997C9F"/>
    <w:rsid w:val="009A07DF"/>
    <w:rsid w:val="009A265D"/>
    <w:rsid w:val="009A4F8C"/>
    <w:rsid w:val="009B32E7"/>
    <w:rsid w:val="009B3866"/>
    <w:rsid w:val="009B3BA1"/>
    <w:rsid w:val="009B5887"/>
    <w:rsid w:val="009B5CA2"/>
    <w:rsid w:val="009C012D"/>
    <w:rsid w:val="009C11E3"/>
    <w:rsid w:val="009C4256"/>
    <w:rsid w:val="009D374F"/>
    <w:rsid w:val="009E4095"/>
    <w:rsid w:val="009E7BC3"/>
    <w:rsid w:val="009F2331"/>
    <w:rsid w:val="009F2DE3"/>
    <w:rsid w:val="009F7DF6"/>
    <w:rsid w:val="009F7E08"/>
    <w:rsid w:val="00A04D4E"/>
    <w:rsid w:val="00A063DB"/>
    <w:rsid w:val="00A064F5"/>
    <w:rsid w:val="00A065EE"/>
    <w:rsid w:val="00A10FAA"/>
    <w:rsid w:val="00A12284"/>
    <w:rsid w:val="00A12F72"/>
    <w:rsid w:val="00A13499"/>
    <w:rsid w:val="00A1764A"/>
    <w:rsid w:val="00A204EA"/>
    <w:rsid w:val="00A21508"/>
    <w:rsid w:val="00A217F4"/>
    <w:rsid w:val="00A222D5"/>
    <w:rsid w:val="00A31385"/>
    <w:rsid w:val="00A32C7E"/>
    <w:rsid w:val="00A35025"/>
    <w:rsid w:val="00A37C7F"/>
    <w:rsid w:val="00A4071E"/>
    <w:rsid w:val="00A441FE"/>
    <w:rsid w:val="00A47038"/>
    <w:rsid w:val="00A526A4"/>
    <w:rsid w:val="00A53442"/>
    <w:rsid w:val="00A55A12"/>
    <w:rsid w:val="00A5669F"/>
    <w:rsid w:val="00A60C49"/>
    <w:rsid w:val="00A8536E"/>
    <w:rsid w:val="00A9220D"/>
    <w:rsid w:val="00AA1ACE"/>
    <w:rsid w:val="00AA2BFE"/>
    <w:rsid w:val="00AA38D6"/>
    <w:rsid w:val="00AA5A87"/>
    <w:rsid w:val="00AB1E39"/>
    <w:rsid w:val="00AB2ACE"/>
    <w:rsid w:val="00AC2092"/>
    <w:rsid w:val="00AC5B89"/>
    <w:rsid w:val="00AC6F3D"/>
    <w:rsid w:val="00AD74D7"/>
    <w:rsid w:val="00AE62AE"/>
    <w:rsid w:val="00AE6D31"/>
    <w:rsid w:val="00AF051F"/>
    <w:rsid w:val="00B01964"/>
    <w:rsid w:val="00B02B18"/>
    <w:rsid w:val="00B074F5"/>
    <w:rsid w:val="00B07DAD"/>
    <w:rsid w:val="00B114FD"/>
    <w:rsid w:val="00B12ED8"/>
    <w:rsid w:val="00B144AC"/>
    <w:rsid w:val="00B147A2"/>
    <w:rsid w:val="00B14E21"/>
    <w:rsid w:val="00B14E42"/>
    <w:rsid w:val="00B14E96"/>
    <w:rsid w:val="00B1561D"/>
    <w:rsid w:val="00B211A4"/>
    <w:rsid w:val="00B30BB9"/>
    <w:rsid w:val="00B3378B"/>
    <w:rsid w:val="00B3419D"/>
    <w:rsid w:val="00B35C17"/>
    <w:rsid w:val="00B412FB"/>
    <w:rsid w:val="00B47105"/>
    <w:rsid w:val="00B54161"/>
    <w:rsid w:val="00B60127"/>
    <w:rsid w:val="00B64D6D"/>
    <w:rsid w:val="00B6647B"/>
    <w:rsid w:val="00B6728B"/>
    <w:rsid w:val="00B67566"/>
    <w:rsid w:val="00B71B25"/>
    <w:rsid w:val="00B7393F"/>
    <w:rsid w:val="00B759E8"/>
    <w:rsid w:val="00B826E3"/>
    <w:rsid w:val="00B8795B"/>
    <w:rsid w:val="00B94657"/>
    <w:rsid w:val="00B9709C"/>
    <w:rsid w:val="00BA32D6"/>
    <w:rsid w:val="00BA68DF"/>
    <w:rsid w:val="00BA6AB1"/>
    <w:rsid w:val="00BB066B"/>
    <w:rsid w:val="00BB2886"/>
    <w:rsid w:val="00BB5DCE"/>
    <w:rsid w:val="00BC1378"/>
    <w:rsid w:val="00BC4C25"/>
    <w:rsid w:val="00BC704A"/>
    <w:rsid w:val="00BC7DFB"/>
    <w:rsid w:val="00BD02A4"/>
    <w:rsid w:val="00BD100A"/>
    <w:rsid w:val="00BD7740"/>
    <w:rsid w:val="00BE15EA"/>
    <w:rsid w:val="00BE66C1"/>
    <w:rsid w:val="00BF2D90"/>
    <w:rsid w:val="00BF3812"/>
    <w:rsid w:val="00BF3B1E"/>
    <w:rsid w:val="00C01FBE"/>
    <w:rsid w:val="00C02196"/>
    <w:rsid w:val="00C055D5"/>
    <w:rsid w:val="00C07543"/>
    <w:rsid w:val="00C07686"/>
    <w:rsid w:val="00C07B95"/>
    <w:rsid w:val="00C07DA9"/>
    <w:rsid w:val="00C10944"/>
    <w:rsid w:val="00C11103"/>
    <w:rsid w:val="00C14C24"/>
    <w:rsid w:val="00C26CDF"/>
    <w:rsid w:val="00C26E07"/>
    <w:rsid w:val="00C336D4"/>
    <w:rsid w:val="00C408AE"/>
    <w:rsid w:val="00C423CE"/>
    <w:rsid w:val="00C44E40"/>
    <w:rsid w:val="00C45347"/>
    <w:rsid w:val="00C473EA"/>
    <w:rsid w:val="00C53291"/>
    <w:rsid w:val="00C53459"/>
    <w:rsid w:val="00C53DE9"/>
    <w:rsid w:val="00C55219"/>
    <w:rsid w:val="00C62EE9"/>
    <w:rsid w:val="00C755CB"/>
    <w:rsid w:val="00C75B27"/>
    <w:rsid w:val="00C7759B"/>
    <w:rsid w:val="00C8243B"/>
    <w:rsid w:val="00C8670F"/>
    <w:rsid w:val="00C86A12"/>
    <w:rsid w:val="00C91DCC"/>
    <w:rsid w:val="00C94BF6"/>
    <w:rsid w:val="00C973ED"/>
    <w:rsid w:val="00CA4375"/>
    <w:rsid w:val="00CB3B29"/>
    <w:rsid w:val="00CB42B9"/>
    <w:rsid w:val="00CC0B51"/>
    <w:rsid w:val="00CC5159"/>
    <w:rsid w:val="00CD1148"/>
    <w:rsid w:val="00CD4229"/>
    <w:rsid w:val="00CD7F0A"/>
    <w:rsid w:val="00CE03B7"/>
    <w:rsid w:val="00CE5ABA"/>
    <w:rsid w:val="00CE63A9"/>
    <w:rsid w:val="00CE63B6"/>
    <w:rsid w:val="00CE6BCF"/>
    <w:rsid w:val="00CE72FB"/>
    <w:rsid w:val="00CF2A58"/>
    <w:rsid w:val="00CF4FB9"/>
    <w:rsid w:val="00D04171"/>
    <w:rsid w:val="00D05321"/>
    <w:rsid w:val="00D129F7"/>
    <w:rsid w:val="00D13B08"/>
    <w:rsid w:val="00D13BA5"/>
    <w:rsid w:val="00D15563"/>
    <w:rsid w:val="00D20B8B"/>
    <w:rsid w:val="00D30BA0"/>
    <w:rsid w:val="00D4051C"/>
    <w:rsid w:val="00D413EF"/>
    <w:rsid w:val="00D416A3"/>
    <w:rsid w:val="00D47CC1"/>
    <w:rsid w:val="00D53AF9"/>
    <w:rsid w:val="00D55AAF"/>
    <w:rsid w:val="00D63309"/>
    <w:rsid w:val="00D64326"/>
    <w:rsid w:val="00D643A0"/>
    <w:rsid w:val="00D71348"/>
    <w:rsid w:val="00D7171C"/>
    <w:rsid w:val="00D737DA"/>
    <w:rsid w:val="00D9230D"/>
    <w:rsid w:val="00D9308A"/>
    <w:rsid w:val="00D9568F"/>
    <w:rsid w:val="00DA0AC2"/>
    <w:rsid w:val="00DA2617"/>
    <w:rsid w:val="00DA357F"/>
    <w:rsid w:val="00DA49EF"/>
    <w:rsid w:val="00DB18C9"/>
    <w:rsid w:val="00DB3A8C"/>
    <w:rsid w:val="00DB4194"/>
    <w:rsid w:val="00DB7CDE"/>
    <w:rsid w:val="00DC0C7E"/>
    <w:rsid w:val="00DC2AA7"/>
    <w:rsid w:val="00DC5B67"/>
    <w:rsid w:val="00DC7022"/>
    <w:rsid w:val="00DD2031"/>
    <w:rsid w:val="00DD6B93"/>
    <w:rsid w:val="00DE42DC"/>
    <w:rsid w:val="00DE45D2"/>
    <w:rsid w:val="00DF3697"/>
    <w:rsid w:val="00DF4FAF"/>
    <w:rsid w:val="00DF6CF5"/>
    <w:rsid w:val="00DF70A4"/>
    <w:rsid w:val="00E046DB"/>
    <w:rsid w:val="00E107E8"/>
    <w:rsid w:val="00E141CB"/>
    <w:rsid w:val="00E21303"/>
    <w:rsid w:val="00E21387"/>
    <w:rsid w:val="00E3149D"/>
    <w:rsid w:val="00E31DA8"/>
    <w:rsid w:val="00E32D37"/>
    <w:rsid w:val="00E33CB0"/>
    <w:rsid w:val="00E42931"/>
    <w:rsid w:val="00E450D6"/>
    <w:rsid w:val="00E454AD"/>
    <w:rsid w:val="00E45537"/>
    <w:rsid w:val="00E46A21"/>
    <w:rsid w:val="00E47505"/>
    <w:rsid w:val="00E478E1"/>
    <w:rsid w:val="00E522C1"/>
    <w:rsid w:val="00E52BE5"/>
    <w:rsid w:val="00E54BA5"/>
    <w:rsid w:val="00E632BF"/>
    <w:rsid w:val="00E6691F"/>
    <w:rsid w:val="00E67922"/>
    <w:rsid w:val="00E80491"/>
    <w:rsid w:val="00E82485"/>
    <w:rsid w:val="00E82D01"/>
    <w:rsid w:val="00E845DE"/>
    <w:rsid w:val="00E84904"/>
    <w:rsid w:val="00E85671"/>
    <w:rsid w:val="00E85A5D"/>
    <w:rsid w:val="00E9377B"/>
    <w:rsid w:val="00EA0EF3"/>
    <w:rsid w:val="00EA0F6C"/>
    <w:rsid w:val="00EA27C2"/>
    <w:rsid w:val="00EA2E2F"/>
    <w:rsid w:val="00EA42F6"/>
    <w:rsid w:val="00EA61CF"/>
    <w:rsid w:val="00EA72FE"/>
    <w:rsid w:val="00EA7D0F"/>
    <w:rsid w:val="00EB2CA1"/>
    <w:rsid w:val="00EB41E3"/>
    <w:rsid w:val="00EB541C"/>
    <w:rsid w:val="00EC1B96"/>
    <w:rsid w:val="00EC5564"/>
    <w:rsid w:val="00ED30A7"/>
    <w:rsid w:val="00ED4106"/>
    <w:rsid w:val="00EE60FC"/>
    <w:rsid w:val="00EE6D93"/>
    <w:rsid w:val="00EF212C"/>
    <w:rsid w:val="00EF4809"/>
    <w:rsid w:val="00EF6210"/>
    <w:rsid w:val="00F013BD"/>
    <w:rsid w:val="00F01D0F"/>
    <w:rsid w:val="00F035F9"/>
    <w:rsid w:val="00F05B72"/>
    <w:rsid w:val="00F1277C"/>
    <w:rsid w:val="00F12FFD"/>
    <w:rsid w:val="00F217B6"/>
    <w:rsid w:val="00F24D28"/>
    <w:rsid w:val="00F26E6D"/>
    <w:rsid w:val="00F30CBE"/>
    <w:rsid w:val="00F47F09"/>
    <w:rsid w:val="00F54B4E"/>
    <w:rsid w:val="00F55C5D"/>
    <w:rsid w:val="00F67D9B"/>
    <w:rsid w:val="00F7356C"/>
    <w:rsid w:val="00F76626"/>
    <w:rsid w:val="00F80B64"/>
    <w:rsid w:val="00F87D6E"/>
    <w:rsid w:val="00F87DB2"/>
    <w:rsid w:val="00F903F1"/>
    <w:rsid w:val="00F91CE9"/>
    <w:rsid w:val="00F93D62"/>
    <w:rsid w:val="00F95F30"/>
    <w:rsid w:val="00F97EA7"/>
    <w:rsid w:val="00FA0763"/>
    <w:rsid w:val="00FA0C5E"/>
    <w:rsid w:val="00FA267C"/>
    <w:rsid w:val="00FB0C82"/>
    <w:rsid w:val="00FB522F"/>
    <w:rsid w:val="00FB571A"/>
    <w:rsid w:val="00FC1A04"/>
    <w:rsid w:val="00FC1D1B"/>
    <w:rsid w:val="00FC3086"/>
    <w:rsid w:val="00FC39FC"/>
    <w:rsid w:val="00FC64F6"/>
    <w:rsid w:val="00FC77D0"/>
    <w:rsid w:val="00FD623A"/>
    <w:rsid w:val="00FD6D06"/>
    <w:rsid w:val="00FF2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rokecolor="#54628d">
      <v:stroke color="#54628d" weight="1.5pt"/>
      <o:colormru v:ext="edit" colors="#e2aa1e"/>
    </o:shapedefaults>
    <o:shapelayout v:ext="edit">
      <o:idmap v:ext="edit" data="1"/>
    </o:shapelayout>
  </w:shapeDefaults>
  <w:decimalSymbol w:val=","/>
  <w:listSeparator w:val=";"/>
  <w15:docId w15:val="{0F2F46A5-D3B1-4D20-A260-8513E82F3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07E8"/>
    <w:rPr>
      <w:rFonts w:ascii="Times New Roman" w:eastAsia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E107E8"/>
    <w:pPr>
      <w:keepNext/>
      <w:ind w:left="90"/>
      <w:jc w:val="both"/>
      <w:outlineLvl w:val="0"/>
    </w:pPr>
    <w:rPr>
      <w:b/>
      <w:bCs/>
      <w:lang w:eastAsia="pl-PL"/>
    </w:rPr>
  </w:style>
  <w:style w:type="paragraph" w:styleId="Nagwek2">
    <w:name w:val="heading 2"/>
    <w:basedOn w:val="Normalny"/>
    <w:next w:val="Normalny"/>
    <w:qFormat/>
    <w:rsid w:val="00E107E8"/>
    <w:pPr>
      <w:keepNext/>
      <w:jc w:val="center"/>
      <w:outlineLvl w:val="1"/>
    </w:pPr>
    <w:rPr>
      <w:rFonts w:ascii="Lucida Sans Unicode" w:hAnsi="Lucida Sans Unicode" w:cs="Lucida Sans Unicode"/>
      <w:b/>
      <w:sz w:val="20"/>
      <w:szCs w:val="20"/>
      <w:lang w:val="en-US" w:eastAsia="pl-PL"/>
    </w:rPr>
  </w:style>
  <w:style w:type="paragraph" w:styleId="Nagwek3">
    <w:name w:val="heading 3"/>
    <w:basedOn w:val="Normalny"/>
    <w:next w:val="Normalny"/>
    <w:qFormat/>
    <w:rsid w:val="00E107E8"/>
    <w:pPr>
      <w:keepNext/>
      <w:spacing w:before="480" w:after="240"/>
      <w:jc w:val="center"/>
      <w:outlineLvl w:val="2"/>
    </w:pPr>
    <w:rPr>
      <w:rFonts w:ascii="Calibri" w:hAnsi="Calibri" w:cs="Arial"/>
      <w:color w:val="000080"/>
      <w:sz w:val="32"/>
      <w:szCs w:val="32"/>
    </w:rPr>
  </w:style>
  <w:style w:type="paragraph" w:styleId="Nagwek4">
    <w:name w:val="heading 4"/>
    <w:basedOn w:val="Normalny"/>
    <w:next w:val="Normalny"/>
    <w:qFormat/>
    <w:rsid w:val="00E107E8"/>
    <w:pPr>
      <w:keepNext/>
      <w:outlineLvl w:val="3"/>
    </w:pPr>
    <w:rPr>
      <w:rFonts w:ascii="Arial" w:hAnsi="Arial" w:cs="Arial"/>
      <w:b/>
      <w:bCs/>
      <w:sz w:val="22"/>
      <w:szCs w:val="22"/>
      <w:lang w:eastAsia="pl-PL"/>
    </w:rPr>
  </w:style>
  <w:style w:type="paragraph" w:styleId="Nagwek5">
    <w:name w:val="heading 5"/>
    <w:basedOn w:val="Normalny"/>
    <w:next w:val="Normalny"/>
    <w:qFormat/>
    <w:rsid w:val="00E107E8"/>
    <w:pPr>
      <w:keepNext/>
      <w:autoSpaceDE w:val="0"/>
      <w:autoSpaceDN w:val="0"/>
      <w:adjustRightInd w:val="0"/>
      <w:jc w:val="center"/>
      <w:outlineLvl w:val="4"/>
    </w:pPr>
    <w:rPr>
      <w:rFonts w:ascii="Arial" w:eastAsia="Arial Unicode MS" w:hAnsi="Arial" w:cs="Arial"/>
      <w:b/>
      <w:bCs/>
      <w:color w:val="54628D"/>
      <w:sz w:val="28"/>
      <w:szCs w:val="17"/>
    </w:rPr>
  </w:style>
  <w:style w:type="paragraph" w:styleId="Nagwek6">
    <w:name w:val="heading 6"/>
    <w:basedOn w:val="Normalny"/>
    <w:next w:val="Normalny"/>
    <w:qFormat/>
    <w:rsid w:val="00E107E8"/>
    <w:pPr>
      <w:keepNext/>
      <w:jc w:val="both"/>
      <w:outlineLvl w:val="5"/>
    </w:pPr>
    <w:rPr>
      <w:rFonts w:ascii="Tahoma" w:hAnsi="Tahoma" w:cs="Tahoma"/>
      <w:b/>
      <w:bCs/>
      <w:iCs/>
      <w:sz w:val="16"/>
    </w:rPr>
  </w:style>
  <w:style w:type="paragraph" w:styleId="Nagwek7">
    <w:name w:val="heading 7"/>
    <w:basedOn w:val="Normalny"/>
    <w:next w:val="Normalny"/>
    <w:qFormat/>
    <w:rsid w:val="00E107E8"/>
    <w:pPr>
      <w:keepNext/>
      <w:jc w:val="both"/>
      <w:outlineLvl w:val="6"/>
    </w:pPr>
    <w:rPr>
      <w:rFonts w:ascii="Calibri" w:hAnsi="Calibri"/>
      <w:b/>
      <w:bCs/>
      <w:sz w:val="20"/>
      <w:lang w:eastAsia="pl-PL"/>
    </w:rPr>
  </w:style>
  <w:style w:type="paragraph" w:styleId="Nagwek8">
    <w:name w:val="heading 8"/>
    <w:basedOn w:val="Normalny"/>
    <w:next w:val="Normalny"/>
    <w:qFormat/>
    <w:rsid w:val="00E107E8"/>
    <w:pPr>
      <w:keepNext/>
      <w:jc w:val="both"/>
      <w:outlineLvl w:val="7"/>
    </w:pPr>
    <w:rPr>
      <w:rFonts w:ascii="Calibri" w:hAnsi="Calibri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NagwekZnak">
    <w:name w:val="Nagłówek Znak"/>
    <w:basedOn w:val="Domylnaczcionkaakapitu"/>
    <w:semiHidden/>
    <w:rsid w:val="00E107E8"/>
  </w:style>
  <w:style w:type="paragraph" w:styleId="Stopka">
    <w:name w:val="footer"/>
    <w:basedOn w:val="Normalny"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basedOn w:val="Domylnaczcionkaakapitu"/>
    <w:rsid w:val="00E107E8"/>
  </w:style>
  <w:style w:type="paragraph" w:styleId="Tekstdymka">
    <w:name w:val="Balloon Text"/>
    <w:basedOn w:val="Normalny"/>
    <w:semiHidden/>
    <w:unhideWhenUsed/>
    <w:rsid w:val="00E107E8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semiHidden/>
    <w:rsid w:val="00E107E8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rsid w:val="00E107E8"/>
    <w:rPr>
      <w:rFonts w:ascii="Lucida Sans Unicode" w:eastAsia="Times New Roman" w:hAnsi="Lucida Sans Unicode" w:cs="Lucida Sans Unicode"/>
      <w:b/>
      <w:sz w:val="20"/>
      <w:szCs w:val="20"/>
      <w:lang w:val="en-US" w:eastAsia="pl-PL"/>
    </w:rPr>
  </w:style>
  <w:style w:type="character" w:styleId="Hipercze">
    <w:name w:val="Hyperlink"/>
    <w:uiPriority w:val="99"/>
    <w:unhideWhenUsed/>
    <w:rsid w:val="00E107E8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E107E8"/>
    <w:pPr>
      <w:jc w:val="both"/>
    </w:pPr>
    <w:rPr>
      <w:b/>
      <w:bCs/>
      <w:szCs w:val="20"/>
    </w:rPr>
  </w:style>
  <w:style w:type="paragraph" w:styleId="Tekstpodstawowy2">
    <w:name w:val="Body Text 2"/>
    <w:basedOn w:val="Normalny"/>
    <w:semiHidden/>
    <w:rsid w:val="00E107E8"/>
    <w:pPr>
      <w:jc w:val="right"/>
    </w:pPr>
    <w:rPr>
      <w:rFonts w:ascii="Arial" w:hAnsi="Arial" w:cs="Arial"/>
      <w:sz w:val="20"/>
      <w:szCs w:val="20"/>
      <w:lang w:eastAsia="pl-PL"/>
    </w:rPr>
  </w:style>
  <w:style w:type="paragraph" w:customStyle="1" w:styleId="aboutus">
    <w:name w:val="aboutus"/>
    <w:basedOn w:val="Normalny"/>
    <w:rsid w:val="00E107E8"/>
    <w:pPr>
      <w:spacing w:before="120" w:after="120" w:line="210" w:lineRule="atLeast"/>
      <w:ind w:left="150" w:right="150"/>
      <w:jc w:val="both"/>
    </w:pPr>
    <w:rPr>
      <w:rFonts w:ascii="Arial" w:eastAsia="Arial Unicode MS" w:hAnsi="Arial" w:cs="Arial"/>
      <w:b/>
      <w:bCs/>
      <w:color w:val="333399"/>
      <w:sz w:val="17"/>
      <w:szCs w:val="17"/>
      <w:lang w:eastAsia="pl-PL"/>
    </w:rPr>
  </w:style>
  <w:style w:type="paragraph" w:styleId="Tekstpodstawowy3">
    <w:name w:val="Body Text 3"/>
    <w:basedOn w:val="Normalny"/>
    <w:semiHidden/>
    <w:rsid w:val="00E107E8"/>
    <w:pPr>
      <w:autoSpaceDE w:val="0"/>
      <w:autoSpaceDN w:val="0"/>
      <w:adjustRightInd w:val="0"/>
      <w:jc w:val="both"/>
    </w:pPr>
    <w:rPr>
      <w:rFonts w:ascii="Calibri" w:eastAsia="Arial Unicode MS" w:hAnsi="Calibri" w:cs="Arial"/>
      <w:b/>
      <w:bCs/>
      <w:color w:val="54628D"/>
      <w:sz w:val="16"/>
      <w:szCs w:val="17"/>
    </w:rPr>
  </w:style>
  <w:style w:type="character" w:styleId="Odwoaniedokomentarza">
    <w:name w:val="annotation reference"/>
    <w:semiHidden/>
    <w:rsid w:val="00E107E8"/>
    <w:rPr>
      <w:sz w:val="16"/>
      <w:szCs w:val="16"/>
    </w:rPr>
  </w:style>
  <w:style w:type="paragraph" w:styleId="Tekstkomentarza">
    <w:name w:val="annotation text"/>
    <w:basedOn w:val="Normalny"/>
    <w:semiHidden/>
    <w:rsid w:val="00E10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107E8"/>
    <w:rPr>
      <w:b/>
      <w:bCs/>
    </w:rPr>
  </w:style>
  <w:style w:type="paragraph" w:customStyle="1" w:styleId="Default">
    <w:name w:val="Default"/>
    <w:rsid w:val="00E107E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6B089C"/>
    <w:pPr>
      <w:jc w:val="center"/>
    </w:pPr>
    <w:rPr>
      <w:b/>
      <w:color w:val="333399"/>
      <w:sz w:val="28"/>
      <w:szCs w:val="28"/>
    </w:rPr>
  </w:style>
  <w:style w:type="character" w:customStyle="1" w:styleId="TytuZnak">
    <w:name w:val="Tytuł Znak"/>
    <w:link w:val="Tytu"/>
    <w:rsid w:val="006B089C"/>
    <w:rPr>
      <w:rFonts w:ascii="Times New Roman" w:eastAsia="Times New Roman" w:hAnsi="Times New Roman"/>
      <w:b/>
      <w:color w:val="333399"/>
      <w:sz w:val="28"/>
      <w:szCs w:val="28"/>
    </w:rPr>
  </w:style>
  <w:style w:type="paragraph" w:styleId="Bezodstpw">
    <w:name w:val="No Spacing"/>
    <w:uiPriority w:val="1"/>
    <w:qFormat/>
    <w:rsid w:val="00EA27C2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0F5029"/>
    <w:rPr>
      <w:rFonts w:eastAsia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Znak">
    <w:name w:val="Tekst podstawowy Znak"/>
    <w:link w:val="Tekstpodstawowy"/>
    <w:semiHidden/>
    <w:rsid w:val="000F5029"/>
    <w:rPr>
      <w:rFonts w:ascii="Times New Roman" w:eastAsia="Times New Roman" w:hAnsi="Times New Roman"/>
      <w:b/>
      <w:bCs/>
      <w:sz w:val="24"/>
    </w:rPr>
  </w:style>
  <w:style w:type="character" w:styleId="UyteHipercze">
    <w:name w:val="FollowedHyperlink"/>
    <w:uiPriority w:val="99"/>
    <w:semiHidden/>
    <w:unhideWhenUsed/>
    <w:rsid w:val="0048505B"/>
    <w:rPr>
      <w:color w:val="800080"/>
      <w:u w:val="single"/>
    </w:rPr>
  </w:style>
  <w:style w:type="paragraph" w:styleId="Akapitzlist">
    <w:name w:val="List Paragraph"/>
    <w:basedOn w:val="Normalny"/>
    <w:uiPriority w:val="34"/>
    <w:qFormat/>
    <w:rsid w:val="00CB3B2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2FF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2FFD"/>
    <w:rPr>
      <w:rFonts w:ascii="Times New Roman" w:eastAsia="Times New Roman" w:hAnsi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2FFD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8E2F0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omylnaczcionkaakapitu"/>
    <w:rsid w:val="0000005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29F7"/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29F7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29F7"/>
    <w:rPr>
      <w:vertAlign w:val="superscript"/>
    </w:rPr>
  </w:style>
  <w:style w:type="table" w:customStyle="1" w:styleId="Tabelasiatki4akcent21">
    <w:name w:val="Tabela siatki 4 — akcent 21"/>
    <w:basedOn w:val="Standardowy"/>
    <w:uiPriority w:val="49"/>
    <w:rsid w:val="00EA2E2F"/>
    <w:rPr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Jasnasiatkaakcent11">
    <w:name w:val="Jasna siatka — akcent 11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Jasnasiatkaakcent111">
    <w:name w:val="Jasna siatka — akcent 111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Jasnasiatkaakcent112">
    <w:name w:val="Jasna siatka — akcent 112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Tabela-Siatka2">
    <w:name w:val="Tabela - Siatka2"/>
    <w:basedOn w:val="Standardowy"/>
    <w:next w:val="Tabela-Siatka"/>
    <w:uiPriority w:val="39"/>
    <w:rsid w:val="00E3149D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39"/>
    <w:rsid w:val="00DB3A8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39"/>
    <w:rsid w:val="00F54B4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next w:val="Tabela-Siatka"/>
    <w:uiPriority w:val="59"/>
    <w:rsid w:val="00C53DE9"/>
    <w:rPr>
      <w:rFonts w:eastAsia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ytuSedlak">
    <w:name w:val="TytułSedlak"/>
    <w:basedOn w:val="Normalny"/>
    <w:link w:val="TytuSedlakZnak"/>
    <w:qFormat/>
    <w:rsid w:val="00704253"/>
    <w:pPr>
      <w:spacing w:line="276" w:lineRule="auto"/>
      <w:jc w:val="center"/>
      <w:outlineLvl w:val="0"/>
    </w:pPr>
    <w:rPr>
      <w:rFonts w:asciiTheme="minorHAnsi" w:hAnsiTheme="minorHAnsi"/>
      <w:b/>
      <w:bCs/>
      <w:color w:val="002060"/>
      <w:kern w:val="36"/>
      <w:sz w:val="32"/>
      <w:szCs w:val="32"/>
      <w:lang w:eastAsia="en-AU"/>
    </w:rPr>
  </w:style>
  <w:style w:type="character" w:customStyle="1" w:styleId="TytuSedlakZnak">
    <w:name w:val="TytułSedlak Znak"/>
    <w:basedOn w:val="Domylnaczcionkaakapitu"/>
    <w:link w:val="TytuSedlak"/>
    <w:rsid w:val="00704253"/>
    <w:rPr>
      <w:rFonts w:asciiTheme="minorHAnsi" w:eastAsia="Times New Roman" w:hAnsiTheme="minorHAnsi"/>
      <w:b/>
      <w:bCs/>
      <w:color w:val="002060"/>
      <w:kern w:val="36"/>
      <w:sz w:val="32"/>
      <w:szCs w:val="32"/>
      <w:lang w:eastAsia="en-AU"/>
    </w:rPr>
  </w:style>
  <w:style w:type="paragraph" w:customStyle="1" w:styleId="tekstsedlak">
    <w:name w:val="tekstsedlak"/>
    <w:basedOn w:val="Normalny"/>
    <w:link w:val="tekstsedlakZnak"/>
    <w:qFormat/>
    <w:rsid w:val="00704253"/>
    <w:pPr>
      <w:spacing w:before="240" w:after="240" w:line="276" w:lineRule="auto"/>
      <w:jc w:val="both"/>
    </w:pPr>
    <w:rPr>
      <w:rFonts w:asciiTheme="minorHAnsi" w:eastAsiaTheme="minorEastAsia" w:hAnsiTheme="minorHAnsi" w:cs="Arial"/>
      <w:lang w:eastAsia="pl-PL"/>
    </w:rPr>
  </w:style>
  <w:style w:type="character" w:customStyle="1" w:styleId="tekstsedlakZnak">
    <w:name w:val="tekstsedlak Znak"/>
    <w:basedOn w:val="Domylnaczcionkaakapitu"/>
    <w:link w:val="tekstsedlak"/>
    <w:rsid w:val="00704253"/>
    <w:rPr>
      <w:rFonts w:asciiTheme="minorHAnsi" w:eastAsiaTheme="minorEastAsia" w:hAnsiTheme="minorHAnsi" w:cs="Arial"/>
      <w:sz w:val="24"/>
      <w:szCs w:val="24"/>
    </w:rPr>
  </w:style>
  <w:style w:type="paragraph" w:customStyle="1" w:styleId="wykressedlak">
    <w:name w:val="wykressedlak"/>
    <w:basedOn w:val="Normalny"/>
    <w:link w:val="wykressedlakZnak"/>
    <w:qFormat/>
    <w:rsid w:val="00704253"/>
    <w:pPr>
      <w:spacing w:line="276" w:lineRule="auto"/>
      <w:jc w:val="center"/>
    </w:pPr>
    <w:rPr>
      <w:rFonts w:asciiTheme="minorHAnsi" w:eastAsiaTheme="minorEastAsia" w:hAnsiTheme="minorHAnsi" w:cstheme="minorBidi"/>
      <w:b/>
      <w:color w:val="002060"/>
      <w:szCs w:val="22"/>
      <w:lang w:eastAsia="pl-PL"/>
    </w:rPr>
  </w:style>
  <w:style w:type="character" w:customStyle="1" w:styleId="wykressedlakZnak">
    <w:name w:val="wykressedlak Znak"/>
    <w:basedOn w:val="Domylnaczcionkaakapitu"/>
    <w:link w:val="wykressedlak"/>
    <w:rsid w:val="00704253"/>
    <w:rPr>
      <w:rFonts w:asciiTheme="minorHAnsi" w:eastAsiaTheme="minorEastAsia" w:hAnsiTheme="minorHAnsi" w:cstheme="minorBidi"/>
      <w:b/>
      <w:color w:val="002060"/>
      <w:sz w:val="24"/>
      <w:szCs w:val="22"/>
    </w:rPr>
  </w:style>
  <w:style w:type="paragraph" w:customStyle="1" w:styleId="TytuSedlak0">
    <w:name w:val="Tytuł_Sedlak"/>
    <w:basedOn w:val="Normalny"/>
    <w:link w:val="TytuSedlakZnak0"/>
    <w:autoRedefine/>
    <w:qFormat/>
    <w:rsid w:val="00BA68DF"/>
    <w:pPr>
      <w:spacing w:line="276" w:lineRule="auto"/>
      <w:jc w:val="center"/>
    </w:pPr>
    <w:rPr>
      <w:rFonts w:asciiTheme="minorHAnsi" w:eastAsiaTheme="minorHAnsi" w:hAnsiTheme="minorHAnsi" w:cstheme="minorBidi"/>
      <w:b/>
      <w:caps/>
      <w:color w:val="002060"/>
      <w:sz w:val="32"/>
      <w:szCs w:val="32"/>
    </w:rPr>
  </w:style>
  <w:style w:type="character" w:customStyle="1" w:styleId="TytuSedlakZnak0">
    <w:name w:val="Tytuł_Sedlak Znak"/>
    <w:basedOn w:val="Domylnaczcionkaakapitu"/>
    <w:link w:val="TytuSedlak0"/>
    <w:rsid w:val="00BA68DF"/>
    <w:rPr>
      <w:rFonts w:asciiTheme="minorHAnsi" w:eastAsiaTheme="minorHAnsi" w:hAnsiTheme="minorHAnsi" w:cstheme="minorBidi"/>
      <w:b/>
      <w:caps/>
      <w:color w:val="002060"/>
      <w:sz w:val="32"/>
      <w:szCs w:val="32"/>
      <w:lang w:eastAsia="en-US"/>
    </w:rPr>
  </w:style>
  <w:style w:type="paragraph" w:customStyle="1" w:styleId="tekstsedalk">
    <w:name w:val="tekst_sedalk"/>
    <w:basedOn w:val="Normalny"/>
    <w:link w:val="tekstsedalkZnak"/>
    <w:qFormat/>
    <w:rsid w:val="00BA68DF"/>
    <w:pPr>
      <w:spacing w:line="276" w:lineRule="auto"/>
      <w:jc w:val="both"/>
    </w:pPr>
    <w:rPr>
      <w:rFonts w:asciiTheme="minorHAnsi" w:eastAsiaTheme="minorHAnsi" w:hAnsiTheme="minorHAnsi" w:cstheme="minorBidi"/>
      <w:szCs w:val="26"/>
    </w:rPr>
  </w:style>
  <w:style w:type="character" w:customStyle="1" w:styleId="tekstsedalkZnak">
    <w:name w:val="tekst_sedalk Znak"/>
    <w:basedOn w:val="Domylnaczcionkaakapitu"/>
    <w:link w:val="tekstsedalk"/>
    <w:rsid w:val="00BA68DF"/>
    <w:rPr>
      <w:rFonts w:asciiTheme="minorHAnsi" w:eastAsiaTheme="minorHAnsi" w:hAnsiTheme="minorHAnsi" w:cstheme="minorBidi"/>
      <w:sz w:val="24"/>
      <w:szCs w:val="26"/>
      <w:lang w:eastAsia="en-US"/>
    </w:rPr>
  </w:style>
  <w:style w:type="paragraph" w:customStyle="1" w:styleId="podtytusedlak">
    <w:name w:val="podtytuł_sedlak"/>
    <w:basedOn w:val="Normalny"/>
    <w:link w:val="podtytusedlakZnak"/>
    <w:qFormat/>
    <w:rsid w:val="00BA68DF"/>
    <w:pPr>
      <w:spacing w:line="276" w:lineRule="auto"/>
      <w:jc w:val="both"/>
    </w:pPr>
    <w:rPr>
      <w:rFonts w:asciiTheme="minorHAnsi" w:eastAsiaTheme="minorHAnsi" w:hAnsiTheme="minorHAnsi" w:cstheme="minorBidi"/>
      <w:b/>
      <w:color w:val="002060"/>
      <w:sz w:val="26"/>
      <w:szCs w:val="26"/>
    </w:rPr>
  </w:style>
  <w:style w:type="character" w:customStyle="1" w:styleId="podtytusedlakZnak">
    <w:name w:val="podtytuł_sedlak Znak"/>
    <w:basedOn w:val="Domylnaczcionkaakapitu"/>
    <w:link w:val="podtytusedlak"/>
    <w:rsid w:val="00BA68DF"/>
    <w:rPr>
      <w:rFonts w:asciiTheme="minorHAnsi" w:eastAsiaTheme="minorHAnsi" w:hAnsiTheme="minorHAnsi" w:cstheme="minorBidi"/>
      <w:b/>
      <w:color w:val="002060"/>
      <w:sz w:val="26"/>
      <w:szCs w:val="26"/>
      <w:lang w:eastAsia="en-US"/>
    </w:rPr>
  </w:style>
  <w:style w:type="paragraph" w:customStyle="1" w:styleId="podpissedlak">
    <w:name w:val="podpis_sedlak"/>
    <w:basedOn w:val="Akapitzlist"/>
    <w:link w:val="podpissedlakZnak"/>
    <w:autoRedefine/>
    <w:qFormat/>
    <w:rsid w:val="00BA68DF"/>
    <w:pPr>
      <w:spacing w:line="276" w:lineRule="auto"/>
      <w:ind w:left="0"/>
      <w:jc w:val="center"/>
    </w:pPr>
    <w:rPr>
      <w:rFonts w:ascii="Calibri" w:eastAsia="Calibri" w:hAnsi="Calibri"/>
      <w:b/>
      <w:color w:val="002060"/>
    </w:rPr>
  </w:style>
  <w:style w:type="character" w:customStyle="1" w:styleId="podpissedlakZnak">
    <w:name w:val="podpis_sedlak Znak"/>
    <w:basedOn w:val="Domylnaczcionkaakapitu"/>
    <w:link w:val="podpissedlak"/>
    <w:rsid w:val="00BA68DF"/>
    <w:rPr>
      <w:b/>
      <w:color w:val="00206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2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49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64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5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7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5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77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150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7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05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7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01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8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1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1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0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13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94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48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025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21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327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61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82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16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04678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352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88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2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6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3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80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397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567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5520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17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0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80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3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9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7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3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1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3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4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6067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5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46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2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9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1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6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2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8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0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8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07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94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6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7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9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0593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50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76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5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6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2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87492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04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56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2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38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11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75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4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93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2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13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8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7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8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7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1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16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7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9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98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5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8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8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0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2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1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4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4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9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6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6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9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67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5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9089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83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9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1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5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7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142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58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983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74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5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0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1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6356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489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1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49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2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3148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23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1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41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1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7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168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1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58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379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94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62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44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8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97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1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0000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6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6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8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0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30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05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1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62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216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4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529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5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0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856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88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8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15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01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21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7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49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84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2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50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9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1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4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6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84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0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02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56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9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00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7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7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79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7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2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8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20798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65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1938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25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6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1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3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85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0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8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8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5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3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0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52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778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200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2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285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71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45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6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70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53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72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45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3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8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7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2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9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0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2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8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7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7431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56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3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0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5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7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580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83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5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4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7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96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4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1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46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09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8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0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8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2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4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3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663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301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2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305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41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87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1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4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7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6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9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2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5905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550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8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1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8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3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2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7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3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3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4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8373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0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9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9101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67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5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239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7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05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52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23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32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636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64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36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58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63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3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5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889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28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5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0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1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5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98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80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8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58241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76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5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8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4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98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2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1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8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0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4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3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7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857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3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33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09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7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5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7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0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6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31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3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5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03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7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4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43059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79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1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3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7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0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1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85171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21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0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91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3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6370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61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87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7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2934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46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9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619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43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5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8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26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97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7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4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53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8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556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318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7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17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3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9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8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1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3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81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47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3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75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479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8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7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4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910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5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98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3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3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4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8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50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32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3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53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4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8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76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2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7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0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6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0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3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53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8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0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82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35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0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8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2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4.xml"/><Relationship Id="rId18" Type="http://schemas.openxmlformats.org/officeDocument/2006/relationships/hyperlink" Target="http://www.wynagrodzenia.pl/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chart" Target="charts/chart8.xml"/><Relationship Id="rId2" Type="http://schemas.openxmlformats.org/officeDocument/2006/relationships/numbering" Target="numbering.xml"/><Relationship Id="rId16" Type="http://schemas.openxmlformats.org/officeDocument/2006/relationships/chart" Target="charts/chart7.xml"/><Relationship Id="rId20" Type="http://schemas.openxmlformats.org/officeDocument/2006/relationships/hyperlink" Target="http://wynagrodzenia.pl/t/ogolnopolskie-badanie-wynagrodzen-n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hart" Target="charts/chart6.xml"/><Relationship Id="rId23" Type="http://schemas.openxmlformats.org/officeDocument/2006/relationships/fontTable" Target="fontTable.xml"/><Relationship Id="rId10" Type="http://schemas.openxmlformats.org/officeDocument/2006/relationships/chart" Target="charts/chart1.xml"/><Relationship Id="rId19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media@sedlak.pl" TargetMode="External"/><Relationship Id="rId14" Type="http://schemas.openxmlformats.org/officeDocument/2006/relationships/chart" Target="charts/chart5.xm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6.xlsx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7.xlsx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8.xlsx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Seria 1</c:v>
                </c:pt>
              </c:strCache>
            </c:strRef>
          </c:tx>
          <c:spPr>
            <a:solidFill>
              <a:srgbClr val="A5A88C"/>
            </a:solidFill>
            <a:ln>
              <a:noFill/>
            </a:ln>
            <a:effectLst/>
          </c:spPr>
          <c:invertIfNegative val="0"/>
          <c:dPt>
            <c:idx val="9"/>
            <c:invertIfNegative val="0"/>
            <c:bubble3D val="0"/>
            <c:spPr>
              <a:solidFill>
                <a:srgbClr val="EB605B"/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F205-4275-9ADD-6D43D4201542}"/>
              </c:ext>
            </c:extLst>
          </c:dPt>
          <c:dLbls>
            <c:numFmt formatCode="#\ ###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Arkusz1!$A$2:$A$23</c:f>
              <c:strCache>
                <c:ptCount val="22"/>
                <c:pt idx="0">
                  <c:v>Bułgaria</c:v>
                </c:pt>
                <c:pt idx="1">
                  <c:v>Litwa</c:v>
                </c:pt>
                <c:pt idx="2">
                  <c:v>Rumunia</c:v>
                </c:pt>
                <c:pt idx="3">
                  <c:v>Lotwa</c:v>
                </c:pt>
                <c:pt idx="4">
                  <c:v>Węgry</c:v>
                </c:pt>
                <c:pt idx="5">
                  <c:v>Chorwacja</c:v>
                </c:pt>
                <c:pt idx="6">
                  <c:v>Czechy</c:v>
                </c:pt>
                <c:pt idx="7">
                  <c:v>Słowacja</c:v>
                </c:pt>
                <c:pt idx="8">
                  <c:v>Estonia</c:v>
                </c:pt>
                <c:pt idx="9">
                  <c:v>Polska</c:v>
                </c:pt>
                <c:pt idx="10">
                  <c:v>Portugalia</c:v>
                </c:pt>
                <c:pt idx="11">
                  <c:v>Grecja</c:v>
                </c:pt>
                <c:pt idx="12">
                  <c:v>Malta</c:v>
                </c:pt>
                <c:pt idx="13">
                  <c:v>Słowenia</c:v>
                </c:pt>
                <c:pt idx="14">
                  <c:v>Hiszpania</c:v>
                </c:pt>
                <c:pt idx="15">
                  <c:v>Wielka Brytania</c:v>
                </c:pt>
                <c:pt idx="16">
                  <c:v>Niemcy</c:v>
                </c:pt>
                <c:pt idx="17">
                  <c:v>Francja</c:v>
                </c:pt>
                <c:pt idx="18">
                  <c:v>Belgia</c:v>
                </c:pt>
                <c:pt idx="19">
                  <c:v>Holandia</c:v>
                </c:pt>
                <c:pt idx="20">
                  <c:v>Irlandia</c:v>
                </c:pt>
                <c:pt idx="21">
                  <c:v>Luksemburg</c:v>
                </c:pt>
              </c:strCache>
            </c:strRef>
          </c:cat>
          <c:val>
            <c:numRef>
              <c:f>Arkusz1!$B$2:$B$23</c:f>
              <c:numCache>
                <c:formatCode>#,##0.00</c:formatCode>
                <c:ptCount val="22"/>
                <c:pt idx="0">
                  <c:v>260.76</c:v>
                </c:pt>
                <c:pt idx="1">
                  <c:v>400</c:v>
                </c:pt>
                <c:pt idx="2">
                  <c:v>407.86</c:v>
                </c:pt>
                <c:pt idx="3">
                  <c:v>430</c:v>
                </c:pt>
                <c:pt idx="4">
                  <c:v>444.69</c:v>
                </c:pt>
                <c:pt idx="5">
                  <c:v>462.34</c:v>
                </c:pt>
                <c:pt idx="6">
                  <c:v>477.78</c:v>
                </c:pt>
                <c:pt idx="7">
                  <c:v>480</c:v>
                </c:pt>
                <c:pt idx="8">
                  <c:v>500</c:v>
                </c:pt>
                <c:pt idx="9">
                  <c:v>502.75</c:v>
                </c:pt>
                <c:pt idx="10">
                  <c:v>676.67</c:v>
                </c:pt>
                <c:pt idx="11">
                  <c:v>683.76</c:v>
                </c:pt>
                <c:pt idx="12">
                  <c:v>747.54</c:v>
                </c:pt>
                <c:pt idx="13">
                  <c:v>842.79</c:v>
                </c:pt>
                <c:pt idx="14">
                  <c:v>858.55</c:v>
                </c:pt>
                <c:pt idx="15">
                  <c:v>1400.99</c:v>
                </c:pt>
                <c:pt idx="16">
                  <c:v>1498</c:v>
                </c:pt>
                <c:pt idx="17">
                  <c:v>1498.47</c:v>
                </c:pt>
                <c:pt idx="18">
                  <c:v>1562.59</c:v>
                </c:pt>
                <c:pt idx="19">
                  <c:v>1578</c:v>
                </c:pt>
                <c:pt idx="20">
                  <c:v>1613.95</c:v>
                </c:pt>
                <c:pt idx="21">
                  <c:v>1998.59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F205-4275-9ADD-6D43D4201542}"/>
            </c:ext>
          </c:extLst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Kolumna1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Arkusz1!$A$2:$A$23</c:f>
              <c:strCache>
                <c:ptCount val="22"/>
                <c:pt idx="0">
                  <c:v>Bułgaria</c:v>
                </c:pt>
                <c:pt idx="1">
                  <c:v>Litwa</c:v>
                </c:pt>
                <c:pt idx="2">
                  <c:v>Rumunia</c:v>
                </c:pt>
                <c:pt idx="3">
                  <c:v>Lotwa</c:v>
                </c:pt>
                <c:pt idx="4">
                  <c:v>Węgry</c:v>
                </c:pt>
                <c:pt idx="5">
                  <c:v>Chorwacja</c:v>
                </c:pt>
                <c:pt idx="6">
                  <c:v>Czechy</c:v>
                </c:pt>
                <c:pt idx="7">
                  <c:v>Słowacja</c:v>
                </c:pt>
                <c:pt idx="8">
                  <c:v>Estonia</c:v>
                </c:pt>
                <c:pt idx="9">
                  <c:v>Polska</c:v>
                </c:pt>
                <c:pt idx="10">
                  <c:v>Portugalia</c:v>
                </c:pt>
                <c:pt idx="11">
                  <c:v>Grecja</c:v>
                </c:pt>
                <c:pt idx="12">
                  <c:v>Malta</c:v>
                </c:pt>
                <c:pt idx="13">
                  <c:v>Słowenia</c:v>
                </c:pt>
                <c:pt idx="14">
                  <c:v>Hiszpania</c:v>
                </c:pt>
                <c:pt idx="15">
                  <c:v>Wielka Brytania</c:v>
                </c:pt>
                <c:pt idx="16">
                  <c:v>Niemcy</c:v>
                </c:pt>
                <c:pt idx="17">
                  <c:v>Francja</c:v>
                </c:pt>
                <c:pt idx="18">
                  <c:v>Belgia</c:v>
                </c:pt>
                <c:pt idx="19">
                  <c:v>Holandia</c:v>
                </c:pt>
                <c:pt idx="20">
                  <c:v>Irlandia</c:v>
                </c:pt>
                <c:pt idx="21">
                  <c:v>Luksemburg</c:v>
                </c:pt>
              </c:strCache>
            </c:strRef>
          </c:cat>
          <c:val>
            <c:numRef>
              <c:f>Arkusz1!$C$2:$C$23</c:f>
              <c:numCache>
                <c:formatCode>General</c:formatCode>
                <c:ptCount val="22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F205-4275-9ADD-6D43D4201542}"/>
            </c:ext>
          </c:extLst>
        </c:ser>
        <c:ser>
          <c:idx val="2"/>
          <c:order val="2"/>
          <c:tx>
            <c:strRef>
              <c:f>Arkusz1!$D$1</c:f>
              <c:strCache>
                <c:ptCount val="1"/>
                <c:pt idx="0">
                  <c:v>Kolumna2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Arkusz1!$A$2:$A$23</c:f>
              <c:strCache>
                <c:ptCount val="22"/>
                <c:pt idx="0">
                  <c:v>Bułgaria</c:v>
                </c:pt>
                <c:pt idx="1">
                  <c:v>Litwa</c:v>
                </c:pt>
                <c:pt idx="2">
                  <c:v>Rumunia</c:v>
                </c:pt>
                <c:pt idx="3">
                  <c:v>Lotwa</c:v>
                </c:pt>
                <c:pt idx="4">
                  <c:v>Węgry</c:v>
                </c:pt>
                <c:pt idx="5">
                  <c:v>Chorwacja</c:v>
                </c:pt>
                <c:pt idx="6">
                  <c:v>Czechy</c:v>
                </c:pt>
                <c:pt idx="7">
                  <c:v>Słowacja</c:v>
                </c:pt>
                <c:pt idx="8">
                  <c:v>Estonia</c:v>
                </c:pt>
                <c:pt idx="9">
                  <c:v>Polska</c:v>
                </c:pt>
                <c:pt idx="10">
                  <c:v>Portugalia</c:v>
                </c:pt>
                <c:pt idx="11">
                  <c:v>Grecja</c:v>
                </c:pt>
                <c:pt idx="12">
                  <c:v>Malta</c:v>
                </c:pt>
                <c:pt idx="13">
                  <c:v>Słowenia</c:v>
                </c:pt>
                <c:pt idx="14">
                  <c:v>Hiszpania</c:v>
                </c:pt>
                <c:pt idx="15">
                  <c:v>Wielka Brytania</c:v>
                </c:pt>
                <c:pt idx="16">
                  <c:v>Niemcy</c:v>
                </c:pt>
                <c:pt idx="17">
                  <c:v>Francja</c:v>
                </c:pt>
                <c:pt idx="18">
                  <c:v>Belgia</c:v>
                </c:pt>
                <c:pt idx="19">
                  <c:v>Holandia</c:v>
                </c:pt>
                <c:pt idx="20">
                  <c:v>Irlandia</c:v>
                </c:pt>
                <c:pt idx="21">
                  <c:v>Luksemburg</c:v>
                </c:pt>
              </c:strCache>
            </c:strRef>
          </c:cat>
          <c:val>
            <c:numRef>
              <c:f>Arkusz1!$D$2:$D$23</c:f>
              <c:numCache>
                <c:formatCode>General</c:formatCode>
                <c:ptCount val="22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F205-4275-9ADD-6D43D420154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443054296"/>
        <c:axId val="438377248"/>
      </c:barChart>
      <c:catAx>
        <c:axId val="44305429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438377248"/>
        <c:crosses val="autoZero"/>
        <c:auto val="1"/>
        <c:lblAlgn val="ctr"/>
        <c:lblOffset val="100"/>
        <c:noMultiLvlLbl val="0"/>
      </c:catAx>
      <c:valAx>
        <c:axId val="43837724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#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4430542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Seria 1</c:v>
                </c:pt>
              </c:strCache>
            </c:strRef>
          </c:tx>
          <c:spPr>
            <a:solidFill>
              <a:srgbClr val="F6A047"/>
            </a:solidFill>
            <a:ln>
              <a:noFill/>
            </a:ln>
            <a:effectLst/>
          </c:spPr>
          <c:invertIfNegative val="0"/>
          <c:dPt>
            <c:idx val="11"/>
            <c:invertIfNegative val="0"/>
            <c:bubble3D val="0"/>
            <c:spPr>
              <a:solidFill>
                <a:srgbClr val="EB605B"/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DCBB-4E24-A90A-C74330A648AF}"/>
              </c:ext>
            </c:extLst>
          </c:dPt>
          <c:dLbls>
            <c:numFmt formatCode="#\ ###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Arkusz1!$A$2:$A$23</c:f>
              <c:strCache>
                <c:ptCount val="22"/>
                <c:pt idx="0">
                  <c:v>Bułgaria</c:v>
                </c:pt>
                <c:pt idx="1">
                  <c:v>Łotwa</c:v>
                </c:pt>
                <c:pt idx="2">
                  <c:v>Litwa</c:v>
                </c:pt>
                <c:pt idx="3">
                  <c:v>Czechy</c:v>
                </c:pt>
                <c:pt idx="4">
                  <c:v>Estonia</c:v>
                </c:pt>
                <c:pt idx="5">
                  <c:v>Chorwacja</c:v>
                </c:pt>
                <c:pt idx="6">
                  <c:v>Słowacja</c:v>
                </c:pt>
                <c:pt idx="7">
                  <c:v>Węgry</c:v>
                </c:pt>
                <c:pt idx="8">
                  <c:v>Portugalia</c:v>
                </c:pt>
                <c:pt idx="9">
                  <c:v>Rumunia</c:v>
                </c:pt>
                <c:pt idx="10">
                  <c:v>Grecja</c:v>
                </c:pt>
                <c:pt idx="11">
                  <c:v>Polska</c:v>
                </c:pt>
                <c:pt idx="12">
                  <c:v>Malta</c:v>
                </c:pt>
                <c:pt idx="13">
                  <c:v>Hiszpania</c:v>
                </c:pt>
                <c:pt idx="14">
                  <c:v>Słowenia</c:v>
                </c:pt>
                <c:pt idx="15">
                  <c:v>Wielka Brytania</c:v>
                </c:pt>
                <c:pt idx="16">
                  <c:v>Irlandia</c:v>
                </c:pt>
                <c:pt idx="17">
                  <c:v>Francja</c:v>
                </c:pt>
                <c:pt idx="18">
                  <c:v>Holandia</c:v>
                </c:pt>
                <c:pt idx="19">
                  <c:v>Niemcy</c:v>
                </c:pt>
                <c:pt idx="20">
                  <c:v>Belgia</c:v>
                </c:pt>
                <c:pt idx="21">
                  <c:v>Luksemburg</c:v>
                </c:pt>
              </c:strCache>
            </c:strRef>
          </c:cat>
          <c:val>
            <c:numRef>
              <c:f>Arkusz1!$B$2:$B$23</c:f>
              <c:numCache>
                <c:formatCode>#\ ##0.000</c:formatCode>
                <c:ptCount val="22"/>
                <c:pt idx="0">
                  <c:v>546.15</c:v>
                </c:pt>
                <c:pt idx="1">
                  <c:v>604.27</c:v>
                </c:pt>
                <c:pt idx="2">
                  <c:v>636.42999999999995</c:v>
                </c:pt>
                <c:pt idx="3" formatCode="#,##0.00">
                  <c:v>650.64</c:v>
                </c:pt>
                <c:pt idx="4" formatCode="#,##0.00">
                  <c:v>664.02</c:v>
                </c:pt>
                <c:pt idx="5" formatCode="#,##0.00">
                  <c:v>691.81</c:v>
                </c:pt>
                <c:pt idx="6" formatCode="#,##0.00">
                  <c:v>705.88</c:v>
                </c:pt>
                <c:pt idx="7" formatCode="#,##0.00">
                  <c:v>743.24</c:v>
                </c:pt>
                <c:pt idx="8" formatCode="#,##0.00">
                  <c:v>787.83</c:v>
                </c:pt>
                <c:pt idx="9" formatCode="#\ ##0.0">
                  <c:v>808.6</c:v>
                </c:pt>
                <c:pt idx="10" formatCode="#,##0.00">
                  <c:v>813.41</c:v>
                </c:pt>
                <c:pt idx="11" formatCode="#,##0.00">
                  <c:v>897.52</c:v>
                </c:pt>
                <c:pt idx="12" formatCode="#,##0.00">
                  <c:v>911.45</c:v>
                </c:pt>
                <c:pt idx="13" formatCode="#,##0.00">
                  <c:v>938.11</c:v>
                </c:pt>
                <c:pt idx="14" formatCode="#,##0.00">
                  <c:v>1005.6</c:v>
                </c:pt>
                <c:pt idx="15" formatCode="#,##0.00">
                  <c:v>1246.9100000000001</c:v>
                </c:pt>
                <c:pt idx="16" formatCode="#,##0.00">
                  <c:v>1304.57</c:v>
                </c:pt>
                <c:pt idx="17" formatCode="#,##0.00">
                  <c:v>1388.68</c:v>
                </c:pt>
                <c:pt idx="18" formatCode="#,##0.00">
                  <c:v>1421.71</c:v>
                </c:pt>
                <c:pt idx="19" formatCode="#,##0.00">
                  <c:v>1450.31</c:v>
                </c:pt>
                <c:pt idx="20" formatCode="#,##0.00">
                  <c:v>1493.89</c:v>
                </c:pt>
                <c:pt idx="21" formatCode="#,##0.00">
                  <c:v>1597.17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DCBB-4E24-A90A-C74330A648A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438381168"/>
        <c:axId val="438381560"/>
      </c:barChart>
      <c:catAx>
        <c:axId val="43838116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438381560"/>
        <c:crosses val="autoZero"/>
        <c:auto val="1"/>
        <c:lblAlgn val="ctr"/>
        <c:lblOffset val="100"/>
        <c:noMultiLvlLbl val="0"/>
      </c:catAx>
      <c:valAx>
        <c:axId val="43838156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#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4383811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Seria 1</c:v>
                </c:pt>
              </c:strCache>
            </c:strRef>
          </c:tx>
          <c:spPr>
            <a:solidFill>
              <a:srgbClr val="77C3D8"/>
            </a:solidFill>
            <a:ln>
              <a:noFill/>
            </a:ln>
            <a:effectLst/>
          </c:spPr>
          <c:invertIfNegative val="0"/>
          <c:dPt>
            <c:idx val="6"/>
            <c:invertIfNegative val="0"/>
            <c:bubble3D val="0"/>
            <c:spPr>
              <a:solidFill>
                <a:srgbClr val="EB605B"/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4B9F-4DBB-AEE9-6B144A49E26B}"/>
              </c:ext>
            </c:extLst>
          </c:dPt>
          <c:dPt>
            <c:idx val="15"/>
            <c:invertIfNegative val="0"/>
            <c:bubble3D val="0"/>
            <c:spPr>
              <a:solidFill>
                <a:srgbClr val="FF0000"/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4B9F-4DBB-AEE9-6B144A49E26B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Arkusz1!$A$2:$A$24</c:f>
              <c:strCache>
                <c:ptCount val="23"/>
                <c:pt idx="0">
                  <c:v>Bułgaria</c:v>
                </c:pt>
                <c:pt idx="1">
                  <c:v>Rumunia</c:v>
                </c:pt>
                <c:pt idx="2">
                  <c:v>Chorwacja</c:v>
                </c:pt>
                <c:pt idx="3">
                  <c:v>Łotwa</c:v>
                </c:pt>
                <c:pt idx="4">
                  <c:v>Węgry</c:v>
                </c:pt>
                <c:pt idx="5">
                  <c:v>Grecja</c:v>
                </c:pt>
                <c:pt idx="6">
                  <c:v>Polska</c:v>
                </c:pt>
                <c:pt idx="7">
                  <c:v>Estonia</c:v>
                </c:pt>
                <c:pt idx="8">
                  <c:v>Litwa</c:v>
                </c:pt>
                <c:pt idx="9">
                  <c:v>Portugalia</c:v>
                </c:pt>
                <c:pt idx="10">
                  <c:v>Słowacja</c:v>
                </c:pt>
                <c:pt idx="11">
                  <c:v>Słowenia</c:v>
                </c:pt>
                <c:pt idx="12">
                  <c:v>Czechy</c:v>
                </c:pt>
                <c:pt idx="13">
                  <c:v>Hiszpania</c:v>
                </c:pt>
                <c:pt idx="14">
                  <c:v>Malta</c:v>
                </c:pt>
                <c:pt idx="15">
                  <c:v>Unia Europejska</c:v>
                </c:pt>
                <c:pt idx="16">
                  <c:v>Francja</c:v>
                </c:pt>
                <c:pt idx="17">
                  <c:v>Wielka Brytania</c:v>
                </c:pt>
                <c:pt idx="18">
                  <c:v>Belgia</c:v>
                </c:pt>
                <c:pt idx="19">
                  <c:v>Niemcy</c:v>
                </c:pt>
                <c:pt idx="20">
                  <c:v>Holandia</c:v>
                </c:pt>
                <c:pt idx="21">
                  <c:v>Irlandia</c:v>
                </c:pt>
                <c:pt idx="22">
                  <c:v>Luksemburg</c:v>
                </c:pt>
              </c:strCache>
            </c:strRef>
          </c:cat>
          <c:val>
            <c:numRef>
              <c:f>Arkusz1!$B$2:$B$24</c:f>
              <c:numCache>
                <c:formatCode>0%</c:formatCode>
                <c:ptCount val="23"/>
                <c:pt idx="0">
                  <c:v>0.49</c:v>
                </c:pt>
                <c:pt idx="1">
                  <c:v>0.57999999999999996</c:v>
                </c:pt>
                <c:pt idx="2">
                  <c:v>0.6</c:v>
                </c:pt>
                <c:pt idx="3">
                  <c:v>0.65</c:v>
                </c:pt>
                <c:pt idx="4">
                  <c:v>0.67</c:v>
                </c:pt>
                <c:pt idx="5">
                  <c:v>0.68</c:v>
                </c:pt>
                <c:pt idx="6">
                  <c:v>0.68</c:v>
                </c:pt>
                <c:pt idx="7">
                  <c:v>0.75</c:v>
                </c:pt>
                <c:pt idx="8">
                  <c:v>0.75</c:v>
                </c:pt>
                <c:pt idx="9">
                  <c:v>0.77</c:v>
                </c:pt>
                <c:pt idx="10">
                  <c:v>0.77</c:v>
                </c:pt>
                <c:pt idx="11">
                  <c:v>0.83</c:v>
                </c:pt>
                <c:pt idx="12">
                  <c:v>0.88</c:v>
                </c:pt>
                <c:pt idx="13">
                  <c:v>0.92</c:v>
                </c:pt>
                <c:pt idx="14">
                  <c:v>0.96</c:v>
                </c:pt>
                <c:pt idx="15">
                  <c:v>1</c:v>
                </c:pt>
                <c:pt idx="16">
                  <c:v>1.04</c:v>
                </c:pt>
                <c:pt idx="17">
                  <c:v>1.07</c:v>
                </c:pt>
                <c:pt idx="18">
                  <c:v>1.18</c:v>
                </c:pt>
                <c:pt idx="19">
                  <c:v>1.23</c:v>
                </c:pt>
                <c:pt idx="20">
                  <c:v>1.28</c:v>
                </c:pt>
                <c:pt idx="21">
                  <c:v>1.83</c:v>
                </c:pt>
                <c:pt idx="22">
                  <c:v>2.58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4B9F-4DBB-AEE9-6B144A49E26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438377640"/>
        <c:axId val="438382344"/>
      </c:barChart>
      <c:catAx>
        <c:axId val="43837764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438382344"/>
        <c:crosses val="autoZero"/>
        <c:auto val="1"/>
        <c:lblAlgn val="ctr"/>
        <c:lblOffset val="100"/>
        <c:noMultiLvlLbl val="0"/>
      </c:catAx>
      <c:valAx>
        <c:axId val="43838234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43837764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Seria 1</c:v>
                </c:pt>
              </c:strCache>
            </c:strRef>
          </c:tx>
          <c:spPr>
            <a:solidFill>
              <a:srgbClr val="F6A047"/>
            </a:solidFill>
            <a:ln>
              <a:noFill/>
            </a:ln>
            <a:effectLst/>
          </c:spPr>
          <c:invertIfNegative val="0"/>
          <c:dPt>
            <c:idx val="13"/>
            <c:invertIfNegative val="0"/>
            <c:bubble3D val="0"/>
            <c:spPr>
              <a:solidFill>
                <a:srgbClr val="EB605B"/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FABB-42DA-BB13-9C7AE65DAA86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Arkusz1!$A$2:$A$22</c:f>
              <c:strCache>
                <c:ptCount val="21"/>
                <c:pt idx="0">
                  <c:v>Niemcy</c:v>
                </c:pt>
                <c:pt idx="1">
                  <c:v>Grecja</c:v>
                </c:pt>
                <c:pt idx="2">
                  <c:v>Francja</c:v>
                </c:pt>
                <c:pt idx="3">
                  <c:v>Malta</c:v>
                </c:pt>
                <c:pt idx="4">
                  <c:v>Holandia</c:v>
                </c:pt>
                <c:pt idx="5">
                  <c:v>Belgia</c:v>
                </c:pt>
                <c:pt idx="6">
                  <c:v>Irlandia</c:v>
                </c:pt>
                <c:pt idx="7">
                  <c:v>Portugalia</c:v>
                </c:pt>
                <c:pt idx="8">
                  <c:v>Hiszpania</c:v>
                </c:pt>
                <c:pt idx="9">
                  <c:v>Wielka Brytania</c:v>
                </c:pt>
                <c:pt idx="10">
                  <c:v>Słowenia</c:v>
                </c:pt>
                <c:pt idx="11">
                  <c:v>Czechy</c:v>
                </c:pt>
                <c:pt idx="12">
                  <c:v>Chorwacja</c:v>
                </c:pt>
                <c:pt idx="13">
                  <c:v>Polska</c:v>
                </c:pt>
                <c:pt idx="14">
                  <c:v>Litwa</c:v>
                </c:pt>
                <c:pt idx="15">
                  <c:v>Estonia</c:v>
                </c:pt>
                <c:pt idx="16">
                  <c:v>Węgry</c:v>
                </c:pt>
                <c:pt idx="17">
                  <c:v>Słowacja</c:v>
                </c:pt>
                <c:pt idx="18">
                  <c:v>Bułgaria</c:v>
                </c:pt>
                <c:pt idx="19">
                  <c:v>Łotwa</c:v>
                </c:pt>
                <c:pt idx="20">
                  <c:v>Rumunia</c:v>
                </c:pt>
              </c:strCache>
            </c:strRef>
          </c:cat>
          <c:val>
            <c:numRef>
              <c:f>Arkusz1!$B$2:$B$22</c:f>
              <c:numCache>
                <c:formatCode>0%</c:formatCode>
                <c:ptCount val="21"/>
                <c:pt idx="0">
                  <c:v>0</c:v>
                </c:pt>
                <c:pt idx="1">
                  <c:v>0</c:v>
                </c:pt>
                <c:pt idx="2" formatCode="0.00%">
                  <c:v>1.2E-2</c:v>
                </c:pt>
                <c:pt idx="3" formatCode="0.00%">
                  <c:v>1.6E-2</c:v>
                </c:pt>
                <c:pt idx="4" formatCode="0.00%">
                  <c:v>1.7000000000000001E-2</c:v>
                </c:pt>
                <c:pt idx="5">
                  <c:v>0.02</c:v>
                </c:pt>
                <c:pt idx="6" formatCode="0.00%">
                  <c:v>3.2000000000000001E-2</c:v>
                </c:pt>
                <c:pt idx="7" formatCode="0.00%">
                  <c:v>3.5999999999999997E-2</c:v>
                </c:pt>
                <c:pt idx="8" formatCode="0.00%">
                  <c:v>3.9E-2</c:v>
                </c:pt>
                <c:pt idx="9" formatCode="0.00%">
                  <c:v>4.1000000000000002E-2</c:v>
                </c:pt>
                <c:pt idx="10" formatCode="0.00%">
                  <c:v>4.5999999999999999E-2</c:v>
                </c:pt>
                <c:pt idx="11" formatCode="0.00%">
                  <c:v>4.9000000000000002E-2</c:v>
                </c:pt>
                <c:pt idx="12" formatCode="0.00%">
                  <c:v>4.9000000000000002E-2</c:v>
                </c:pt>
                <c:pt idx="13">
                  <c:v>0.05</c:v>
                </c:pt>
                <c:pt idx="14" formatCode="0.00%">
                  <c:v>5.1999999999999998E-2</c:v>
                </c:pt>
                <c:pt idx="15" formatCode="0.00%">
                  <c:v>6.3E-2</c:v>
                </c:pt>
                <c:pt idx="16" formatCode="0.00%">
                  <c:v>8.2000000000000003E-2</c:v>
                </c:pt>
                <c:pt idx="17" formatCode="0.00%">
                  <c:v>0.10299999999999999</c:v>
                </c:pt>
                <c:pt idx="18" formatCode="0.00%">
                  <c:v>0.108</c:v>
                </c:pt>
                <c:pt idx="19" formatCode="0.00%">
                  <c:v>0.13100000000000001</c:v>
                </c:pt>
                <c:pt idx="20">
                  <c:v>0.52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FABB-42DA-BB13-9C7AE65DAA86}"/>
            </c:ext>
          </c:extLst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Kolumna1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Arkusz1!$A$2:$A$22</c:f>
              <c:strCache>
                <c:ptCount val="21"/>
                <c:pt idx="0">
                  <c:v>Niemcy</c:v>
                </c:pt>
                <c:pt idx="1">
                  <c:v>Grecja</c:v>
                </c:pt>
                <c:pt idx="2">
                  <c:v>Francja</c:v>
                </c:pt>
                <c:pt idx="3">
                  <c:v>Malta</c:v>
                </c:pt>
                <c:pt idx="4">
                  <c:v>Holandia</c:v>
                </c:pt>
                <c:pt idx="5">
                  <c:v>Belgia</c:v>
                </c:pt>
                <c:pt idx="6">
                  <c:v>Irlandia</c:v>
                </c:pt>
                <c:pt idx="7">
                  <c:v>Portugalia</c:v>
                </c:pt>
                <c:pt idx="8">
                  <c:v>Hiszpania</c:v>
                </c:pt>
                <c:pt idx="9">
                  <c:v>Wielka Brytania</c:v>
                </c:pt>
                <c:pt idx="10">
                  <c:v>Słowenia</c:v>
                </c:pt>
                <c:pt idx="11">
                  <c:v>Czechy</c:v>
                </c:pt>
                <c:pt idx="12">
                  <c:v>Chorwacja</c:v>
                </c:pt>
                <c:pt idx="13">
                  <c:v>Polska</c:v>
                </c:pt>
                <c:pt idx="14">
                  <c:v>Litwa</c:v>
                </c:pt>
                <c:pt idx="15">
                  <c:v>Estonia</c:v>
                </c:pt>
                <c:pt idx="16">
                  <c:v>Węgry</c:v>
                </c:pt>
                <c:pt idx="17">
                  <c:v>Słowacja</c:v>
                </c:pt>
                <c:pt idx="18">
                  <c:v>Bułgaria</c:v>
                </c:pt>
                <c:pt idx="19">
                  <c:v>Łotwa</c:v>
                </c:pt>
                <c:pt idx="20">
                  <c:v>Rumunia</c:v>
                </c:pt>
              </c:strCache>
            </c:strRef>
          </c:cat>
          <c:val>
            <c:numRef>
              <c:f>Arkusz1!$C$2:$C$22</c:f>
              <c:numCache>
                <c:formatCode>General</c:formatCode>
                <c:ptCount val="21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FABB-42DA-BB13-9C7AE65DAA86}"/>
            </c:ext>
          </c:extLst>
        </c:ser>
        <c:ser>
          <c:idx val="2"/>
          <c:order val="2"/>
          <c:tx>
            <c:strRef>
              <c:f>Arkusz1!$D$1</c:f>
              <c:strCache>
                <c:ptCount val="1"/>
                <c:pt idx="0">
                  <c:v>Kolumna2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Arkusz1!$A$2:$A$22</c:f>
              <c:strCache>
                <c:ptCount val="21"/>
                <c:pt idx="0">
                  <c:v>Niemcy</c:v>
                </c:pt>
                <c:pt idx="1">
                  <c:v>Grecja</c:v>
                </c:pt>
                <c:pt idx="2">
                  <c:v>Francja</c:v>
                </c:pt>
                <c:pt idx="3">
                  <c:v>Malta</c:v>
                </c:pt>
                <c:pt idx="4">
                  <c:v>Holandia</c:v>
                </c:pt>
                <c:pt idx="5">
                  <c:v>Belgia</c:v>
                </c:pt>
                <c:pt idx="6">
                  <c:v>Irlandia</c:v>
                </c:pt>
                <c:pt idx="7">
                  <c:v>Portugalia</c:v>
                </c:pt>
                <c:pt idx="8">
                  <c:v>Hiszpania</c:v>
                </c:pt>
                <c:pt idx="9">
                  <c:v>Wielka Brytania</c:v>
                </c:pt>
                <c:pt idx="10">
                  <c:v>Słowenia</c:v>
                </c:pt>
                <c:pt idx="11">
                  <c:v>Czechy</c:v>
                </c:pt>
                <c:pt idx="12">
                  <c:v>Chorwacja</c:v>
                </c:pt>
                <c:pt idx="13">
                  <c:v>Polska</c:v>
                </c:pt>
                <c:pt idx="14">
                  <c:v>Litwa</c:v>
                </c:pt>
                <c:pt idx="15">
                  <c:v>Estonia</c:v>
                </c:pt>
                <c:pt idx="16">
                  <c:v>Węgry</c:v>
                </c:pt>
                <c:pt idx="17">
                  <c:v>Słowacja</c:v>
                </c:pt>
                <c:pt idx="18">
                  <c:v>Bułgaria</c:v>
                </c:pt>
                <c:pt idx="19">
                  <c:v>Łotwa</c:v>
                </c:pt>
                <c:pt idx="20">
                  <c:v>Rumunia</c:v>
                </c:pt>
              </c:strCache>
            </c:strRef>
          </c:cat>
          <c:val>
            <c:numRef>
              <c:f>Arkusz1!$D$2:$D$22</c:f>
              <c:numCache>
                <c:formatCode>General</c:formatCode>
                <c:ptCount val="21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FABB-42DA-BB13-9C7AE65DAA8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438383912"/>
        <c:axId val="438382736"/>
      </c:barChart>
      <c:catAx>
        <c:axId val="43838391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438382736"/>
        <c:crosses val="autoZero"/>
        <c:auto val="1"/>
        <c:lblAlgn val="ctr"/>
        <c:lblOffset val="100"/>
        <c:noMultiLvlLbl val="0"/>
      </c:catAx>
      <c:valAx>
        <c:axId val="43838273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43838391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dynamika płacy minimalnej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Lbl>
              <c:idx val="5"/>
              <c:layout>
                <c:manualLayout>
                  <c:x val="-2.6943005181347228E-2"/>
                  <c:y val="-4.82675400792967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C908-48E3-8B41-990D58317588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2176165803108805E-3"/>
                  <c:y val="-4.48198586450611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C908-48E3-8B41-990D58317588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1450777202072537E-3"/>
                  <c:y val="-3.79244957765902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C908-48E3-8B41-990D58317588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ln>
                      <a:noFill/>
                    </a:ln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Arkusz1!$A$2:$A$12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Arkusz1!$B$2:$B$12</c:f>
              <c:numCache>
                <c:formatCode>0%</c:formatCode>
                <c:ptCount val="11"/>
                <c:pt idx="0">
                  <c:v>0.04</c:v>
                </c:pt>
                <c:pt idx="1">
                  <c:v>0.2</c:v>
                </c:pt>
                <c:pt idx="2">
                  <c:v>0.13</c:v>
                </c:pt>
                <c:pt idx="3">
                  <c:v>0.03</c:v>
                </c:pt>
                <c:pt idx="4">
                  <c:v>0.05</c:v>
                </c:pt>
                <c:pt idx="5">
                  <c:v>0.08</c:v>
                </c:pt>
                <c:pt idx="6">
                  <c:v>7.0000000000000007E-2</c:v>
                </c:pt>
                <c:pt idx="7">
                  <c:v>0.05</c:v>
                </c:pt>
                <c:pt idx="8">
                  <c:v>0.04</c:v>
                </c:pt>
                <c:pt idx="9">
                  <c:v>0.06</c:v>
                </c:pt>
                <c:pt idx="10">
                  <c:v>0.08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C908-48E3-8B41-990D58317588}"/>
            </c:ext>
          </c:extLst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dynamika przeciętnego wynagrodzenia w gospodarce narodowej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072538860103627E-2"/>
                  <c:y val="-4.48198586450611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C908-48E3-8B41-990D58317588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1450777202072537E-3"/>
                  <c:y val="-3.10291329081192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C908-48E3-8B41-990D58317588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1.8652849740932641E-2"/>
                  <c:y val="-4.82675400792966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C908-48E3-8B41-990D58317588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1.0362694300518211E-2"/>
                  <c:y val="-3.44768143423547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C908-48E3-8B41-990D58317588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2.6943005181347152E-2"/>
                  <c:y val="-3.10291329081192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C908-48E3-8B41-990D58317588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1.0362694300518135E-2"/>
                  <c:y val="3.10291329081192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C908-48E3-8B41-990D58317588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ln>
                      <a:noFill/>
                    </a:ln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Arkusz1!$A$2:$A$12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Arkusz1!$C$2:$C$12</c:f>
              <c:numCache>
                <c:formatCode>0%</c:formatCode>
                <c:ptCount val="11"/>
                <c:pt idx="0">
                  <c:v>0.09</c:v>
                </c:pt>
                <c:pt idx="1">
                  <c:v>0.09</c:v>
                </c:pt>
                <c:pt idx="2">
                  <c:v>0.05</c:v>
                </c:pt>
                <c:pt idx="3">
                  <c:v>0.04</c:v>
                </c:pt>
                <c:pt idx="4">
                  <c:v>0.05</c:v>
                </c:pt>
                <c:pt idx="5">
                  <c:v>0.04</c:v>
                </c:pt>
                <c:pt idx="6">
                  <c:v>0.04</c:v>
                </c:pt>
                <c:pt idx="7">
                  <c:v>0.04</c:v>
                </c:pt>
                <c:pt idx="8">
                  <c:v>0.03</c:v>
                </c:pt>
                <c:pt idx="9">
                  <c:v>0.04</c:v>
                </c:pt>
                <c:pt idx="10">
                  <c:v>0.06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A-C908-48E3-8B41-990D58317588}"/>
            </c:ext>
          </c:extLst>
        </c:ser>
        <c:ser>
          <c:idx val="2"/>
          <c:order val="2"/>
          <c:tx>
            <c:strRef>
              <c:f>Arkusz1!$D$1</c:f>
              <c:strCache>
                <c:ptCount val="1"/>
                <c:pt idx="0">
                  <c:v>inflacja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2435233160621761E-2"/>
                  <c:y val="3.79244957765902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C908-48E3-8B41-990D58317588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797927461139896E-2"/>
                  <c:y val="4.13721772108257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C908-48E3-8B41-990D58317588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2.6943005181347152E-2"/>
                  <c:y val="4.13721772108257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C908-48E3-8B41-990D58317588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2.0725388601036268E-3"/>
                  <c:y val="4.13721772108257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C908-48E3-8B41-990D58317588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6.2176165803108805E-3"/>
                  <c:y val="2.75814514738838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C908-48E3-8B41-990D58317588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2.6943005181347228E-2"/>
                  <c:y val="3.79244957765902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0-C908-48E3-8B41-990D58317588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8.2901554404145074E-3"/>
                  <c:y val="-2.06860886054128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1-C908-48E3-8B41-990D58317588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2.0725388601036268E-3"/>
                  <c:y val="-3.44768143423560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2-C908-48E3-8B41-990D58317588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8.29015544041466E-3"/>
                  <c:y val="5.51629029477675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3-C908-48E3-8B41-990D58317588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ln>
                      <a:noFill/>
                    </a:ln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Arkusz1!$A$2:$A$12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Arkusz1!$D$2:$D$12</c:f>
              <c:numCache>
                <c:formatCode>0.0%</c:formatCode>
                <c:ptCount val="11"/>
                <c:pt idx="0">
                  <c:v>2.5000000000000001E-2</c:v>
                </c:pt>
                <c:pt idx="1">
                  <c:v>4.2000000000000003E-2</c:v>
                </c:pt>
                <c:pt idx="2">
                  <c:v>3.5000000000000003E-2</c:v>
                </c:pt>
                <c:pt idx="3">
                  <c:v>2.5999999999999999E-2</c:v>
                </c:pt>
                <c:pt idx="4">
                  <c:v>4.2999999999999997E-2</c:v>
                </c:pt>
                <c:pt idx="5">
                  <c:v>3.6999999999999998E-2</c:v>
                </c:pt>
                <c:pt idx="6">
                  <c:v>8.9999999999999993E-3</c:v>
                </c:pt>
                <c:pt idx="7">
                  <c:v>0</c:v>
                </c:pt>
                <c:pt idx="8">
                  <c:v>-8.9999999999999993E-3</c:v>
                </c:pt>
                <c:pt idx="9">
                  <c:v>-6.0000000000000001E-3</c:v>
                </c:pt>
                <c:pt idx="10">
                  <c:v>0.02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4-C908-48E3-8B41-990D5831758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38384304"/>
        <c:axId val="438379600"/>
      </c:lineChart>
      <c:catAx>
        <c:axId val="4383843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438379600"/>
        <c:crosses val="autoZero"/>
        <c:auto val="1"/>
        <c:lblAlgn val="ctr"/>
        <c:lblOffset val="100"/>
        <c:noMultiLvlLbl val="0"/>
      </c:catAx>
      <c:valAx>
        <c:axId val="4383796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4383843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ln>
                <a:noFill/>
              </a:ln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ln>
            <a:noFill/>
          </a:ln>
        </a:defRPr>
      </a:pPr>
      <a:endParaRPr lang="pl-PL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Seria 1</c:v>
                </c:pt>
              </c:strCache>
            </c:strRef>
          </c:tx>
          <c:spPr>
            <a:solidFill>
              <a:srgbClr val="60B9B1"/>
            </a:solidFill>
            <a:ln>
              <a:noFill/>
            </a:ln>
            <a:effectLst/>
          </c:spPr>
          <c:invertIfNegative val="0"/>
          <c:dPt>
            <c:idx val="4"/>
            <c:invertIfNegative val="0"/>
            <c:bubble3D val="0"/>
            <c:spPr>
              <a:solidFill>
                <a:srgbClr val="EB605B"/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4E4C-426F-A539-B8530468D21B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Arkusz1!$A$2:$A$19</c:f>
              <c:strCache>
                <c:ptCount val="18"/>
                <c:pt idx="0">
                  <c:v>Słowenia</c:v>
                </c:pt>
                <c:pt idx="1">
                  <c:v>Litwa</c:v>
                </c:pt>
                <c:pt idx="2">
                  <c:v>Luksemburg</c:v>
                </c:pt>
                <c:pt idx="3">
                  <c:v>Portugalia</c:v>
                </c:pt>
                <c:pt idx="4">
                  <c:v>Polska</c:v>
                </c:pt>
                <c:pt idx="5">
                  <c:v>Łotwa</c:v>
                </c:pt>
                <c:pt idx="6">
                  <c:v>Malta</c:v>
                </c:pt>
                <c:pt idx="7">
                  <c:v>Węgry</c:v>
                </c:pt>
                <c:pt idx="8">
                  <c:v>Wielka Brytania</c:v>
                </c:pt>
                <c:pt idx="9">
                  <c:v>Bułgaria</c:v>
                </c:pt>
                <c:pt idx="10">
                  <c:v>Holandia</c:v>
                </c:pt>
                <c:pt idx="11">
                  <c:v>Rumunia</c:v>
                </c:pt>
                <c:pt idx="12">
                  <c:v>Irlandia</c:v>
                </c:pt>
                <c:pt idx="13">
                  <c:v>Niemcy</c:v>
                </c:pt>
                <c:pt idx="14">
                  <c:v>Chorwacja</c:v>
                </c:pt>
                <c:pt idx="15">
                  <c:v>Słowacja</c:v>
                </c:pt>
                <c:pt idx="16">
                  <c:v>Czechy</c:v>
                </c:pt>
                <c:pt idx="17">
                  <c:v>Hiszpania</c:v>
                </c:pt>
              </c:strCache>
            </c:strRef>
          </c:cat>
          <c:val>
            <c:numRef>
              <c:f>Arkusz1!$B$2:$B$19</c:f>
              <c:numCache>
                <c:formatCode>#\ ##0.0</c:formatCode>
                <c:ptCount val="18"/>
                <c:pt idx="0">
                  <c:v>50.7</c:v>
                </c:pt>
                <c:pt idx="1">
                  <c:v>50.3</c:v>
                </c:pt>
                <c:pt idx="2">
                  <c:v>46.4</c:v>
                </c:pt>
                <c:pt idx="3">
                  <c:v>46.3</c:v>
                </c:pt>
                <c:pt idx="4">
                  <c:v>46.2</c:v>
                </c:pt>
                <c:pt idx="5">
                  <c:v>46</c:v>
                </c:pt>
                <c:pt idx="6">
                  <c:v>45.4</c:v>
                </c:pt>
                <c:pt idx="7">
                  <c:v>45.1</c:v>
                </c:pt>
                <c:pt idx="8">
                  <c:v>44</c:v>
                </c:pt>
                <c:pt idx="9">
                  <c:v>43.3</c:v>
                </c:pt>
                <c:pt idx="10">
                  <c:v>43</c:v>
                </c:pt>
                <c:pt idx="11">
                  <c:v>42.4</c:v>
                </c:pt>
                <c:pt idx="12">
                  <c:v>42</c:v>
                </c:pt>
                <c:pt idx="13">
                  <c:v>40.799999999999997</c:v>
                </c:pt>
                <c:pt idx="14">
                  <c:v>40.200000000000003</c:v>
                </c:pt>
                <c:pt idx="15">
                  <c:v>38.6</c:v>
                </c:pt>
                <c:pt idx="16">
                  <c:v>35.700000000000003</c:v>
                </c:pt>
                <c:pt idx="17">
                  <c:v>34.1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4E4C-426F-A539-B8530468D21B}"/>
            </c:ext>
          </c:extLst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Kolumna1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Arkusz1!$A$2:$A$19</c:f>
              <c:strCache>
                <c:ptCount val="18"/>
                <c:pt idx="0">
                  <c:v>Słowenia</c:v>
                </c:pt>
                <c:pt idx="1">
                  <c:v>Litwa</c:v>
                </c:pt>
                <c:pt idx="2">
                  <c:v>Luksemburg</c:v>
                </c:pt>
                <c:pt idx="3">
                  <c:v>Portugalia</c:v>
                </c:pt>
                <c:pt idx="4">
                  <c:v>Polska</c:v>
                </c:pt>
                <c:pt idx="5">
                  <c:v>Łotwa</c:v>
                </c:pt>
                <c:pt idx="6">
                  <c:v>Malta</c:v>
                </c:pt>
                <c:pt idx="7">
                  <c:v>Węgry</c:v>
                </c:pt>
                <c:pt idx="8">
                  <c:v>Wielka Brytania</c:v>
                </c:pt>
                <c:pt idx="9">
                  <c:v>Bułgaria</c:v>
                </c:pt>
                <c:pt idx="10">
                  <c:v>Holandia</c:v>
                </c:pt>
                <c:pt idx="11">
                  <c:v>Rumunia</c:v>
                </c:pt>
                <c:pt idx="12">
                  <c:v>Irlandia</c:v>
                </c:pt>
                <c:pt idx="13">
                  <c:v>Niemcy</c:v>
                </c:pt>
                <c:pt idx="14">
                  <c:v>Chorwacja</c:v>
                </c:pt>
                <c:pt idx="15">
                  <c:v>Słowacja</c:v>
                </c:pt>
                <c:pt idx="16">
                  <c:v>Czechy</c:v>
                </c:pt>
                <c:pt idx="17">
                  <c:v>Hiszpania</c:v>
                </c:pt>
              </c:strCache>
            </c:strRef>
          </c:cat>
          <c:val>
            <c:numRef>
              <c:f>Arkusz1!$C$2:$C$19</c:f>
              <c:numCache>
                <c:formatCode>General</c:formatCode>
                <c:ptCount val="18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4E4C-426F-A539-B8530468D21B}"/>
            </c:ext>
          </c:extLst>
        </c:ser>
        <c:ser>
          <c:idx val="2"/>
          <c:order val="2"/>
          <c:tx>
            <c:strRef>
              <c:f>Arkusz1!$D$1</c:f>
              <c:strCache>
                <c:ptCount val="1"/>
                <c:pt idx="0">
                  <c:v>Kolumna2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Arkusz1!$A$2:$A$19</c:f>
              <c:strCache>
                <c:ptCount val="18"/>
                <c:pt idx="0">
                  <c:v>Słowenia</c:v>
                </c:pt>
                <c:pt idx="1">
                  <c:v>Litwa</c:v>
                </c:pt>
                <c:pt idx="2">
                  <c:v>Luksemburg</c:v>
                </c:pt>
                <c:pt idx="3">
                  <c:v>Portugalia</c:v>
                </c:pt>
                <c:pt idx="4">
                  <c:v>Polska</c:v>
                </c:pt>
                <c:pt idx="5">
                  <c:v>Łotwa</c:v>
                </c:pt>
                <c:pt idx="6">
                  <c:v>Malta</c:v>
                </c:pt>
                <c:pt idx="7">
                  <c:v>Węgry</c:v>
                </c:pt>
                <c:pt idx="8">
                  <c:v>Wielka Brytania</c:v>
                </c:pt>
                <c:pt idx="9">
                  <c:v>Bułgaria</c:v>
                </c:pt>
                <c:pt idx="10">
                  <c:v>Holandia</c:v>
                </c:pt>
                <c:pt idx="11">
                  <c:v>Rumunia</c:v>
                </c:pt>
                <c:pt idx="12">
                  <c:v>Irlandia</c:v>
                </c:pt>
                <c:pt idx="13">
                  <c:v>Niemcy</c:v>
                </c:pt>
                <c:pt idx="14">
                  <c:v>Chorwacja</c:v>
                </c:pt>
                <c:pt idx="15">
                  <c:v>Słowacja</c:v>
                </c:pt>
                <c:pt idx="16">
                  <c:v>Czechy</c:v>
                </c:pt>
                <c:pt idx="17">
                  <c:v>Hiszpania</c:v>
                </c:pt>
              </c:strCache>
            </c:strRef>
          </c:cat>
          <c:val>
            <c:numRef>
              <c:f>Arkusz1!$D$2:$D$19</c:f>
              <c:numCache>
                <c:formatCode>General</c:formatCode>
                <c:ptCount val="18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4E4C-426F-A539-B8530468D21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38381952"/>
        <c:axId val="438380384"/>
      </c:barChart>
      <c:catAx>
        <c:axId val="4383819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438380384"/>
        <c:crosses val="autoZero"/>
        <c:auto val="1"/>
        <c:lblAlgn val="ctr"/>
        <c:lblOffset val="100"/>
        <c:noMultiLvlLbl val="0"/>
      </c:catAx>
      <c:valAx>
        <c:axId val="4383803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43838195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baseline="0"/>
      </a:pPr>
      <a:endParaRPr lang="pl-PL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Seria 1</c:v>
                </c:pt>
              </c:strCache>
            </c:strRef>
          </c:tx>
          <c:spPr>
            <a:solidFill>
              <a:srgbClr val="60B9B1"/>
            </a:solidFill>
            <a:ln>
              <a:noFill/>
            </a:ln>
            <a:effectLst/>
          </c:spPr>
          <c:invertIfNegative val="0"/>
          <c:dPt>
            <c:idx val="9"/>
            <c:invertIfNegative val="0"/>
            <c:bubble3D val="0"/>
            <c:spPr>
              <a:solidFill>
                <a:srgbClr val="EB605B"/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4148-407E-8EC9-4D87C4E4BD7C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Arkusz1!$A$2:$A$18</c:f>
              <c:strCache>
                <c:ptCount val="17"/>
                <c:pt idx="0">
                  <c:v>Hiszpania</c:v>
                </c:pt>
                <c:pt idx="1">
                  <c:v>Holandia</c:v>
                </c:pt>
                <c:pt idx="2">
                  <c:v>Malta</c:v>
                </c:pt>
                <c:pt idx="3">
                  <c:v>Irlandia</c:v>
                </c:pt>
                <c:pt idx="4">
                  <c:v>Luksemburg</c:v>
                </c:pt>
                <c:pt idx="5">
                  <c:v>Czechy</c:v>
                </c:pt>
                <c:pt idx="6">
                  <c:v>Słowacja</c:v>
                </c:pt>
                <c:pt idx="7">
                  <c:v>Portugalia</c:v>
                </c:pt>
                <c:pt idx="8">
                  <c:v>Chorwacja</c:v>
                </c:pt>
                <c:pt idx="9">
                  <c:v>Polska</c:v>
                </c:pt>
                <c:pt idx="10">
                  <c:v>Łotwa</c:v>
                </c:pt>
                <c:pt idx="11">
                  <c:v>Bułgaria</c:v>
                </c:pt>
                <c:pt idx="12">
                  <c:v>Wielka Brytania</c:v>
                </c:pt>
                <c:pt idx="13">
                  <c:v>Węgry</c:v>
                </c:pt>
                <c:pt idx="14">
                  <c:v>Słowenia</c:v>
                </c:pt>
                <c:pt idx="15">
                  <c:v>Litwa</c:v>
                </c:pt>
                <c:pt idx="16">
                  <c:v>Rumunia</c:v>
                </c:pt>
              </c:strCache>
            </c:strRef>
          </c:cat>
          <c:val>
            <c:numRef>
              <c:f>Arkusz1!$B$2:$B$18</c:f>
              <c:numCache>
                <c:formatCode>0.0%</c:formatCode>
                <c:ptCount val="17"/>
                <c:pt idx="0" formatCode="0%">
                  <c:v>-0.03</c:v>
                </c:pt>
                <c:pt idx="1">
                  <c:v>-2.5000000000000001E-2</c:v>
                </c:pt>
                <c:pt idx="2">
                  <c:v>-7.0000000000000001E-3</c:v>
                </c:pt>
                <c:pt idx="3">
                  <c:v>1.2E-2</c:v>
                </c:pt>
                <c:pt idx="4">
                  <c:v>2.1999999999999999E-2</c:v>
                </c:pt>
                <c:pt idx="5" formatCode="0%">
                  <c:v>0.05</c:v>
                </c:pt>
                <c:pt idx="6">
                  <c:v>5.7000000000000002E-2</c:v>
                </c:pt>
                <c:pt idx="7" formatCode="0%">
                  <c:v>7.0000000000000007E-2</c:v>
                </c:pt>
                <c:pt idx="8">
                  <c:v>0.104</c:v>
                </c:pt>
                <c:pt idx="9">
                  <c:v>0.107</c:v>
                </c:pt>
                <c:pt idx="10">
                  <c:v>0.124</c:v>
                </c:pt>
                <c:pt idx="11" formatCode="0%">
                  <c:v>0.13</c:v>
                </c:pt>
                <c:pt idx="12">
                  <c:v>0.14499999999999999</c:v>
                </c:pt>
                <c:pt idx="13">
                  <c:v>0.16800000000000001</c:v>
                </c:pt>
                <c:pt idx="14">
                  <c:v>0.23300000000000001</c:v>
                </c:pt>
                <c:pt idx="15">
                  <c:v>0.24099999999999999</c:v>
                </c:pt>
                <c:pt idx="16">
                  <c:v>0.27300000000000002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4148-407E-8EC9-4D87C4E4BD7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438378816"/>
        <c:axId val="438379208"/>
      </c:barChart>
      <c:catAx>
        <c:axId val="43837881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438379208"/>
        <c:crosses val="autoZero"/>
        <c:auto val="1"/>
        <c:lblAlgn val="ctr"/>
        <c:lblOffset val="100"/>
        <c:noMultiLvlLbl val="0"/>
      </c:catAx>
      <c:valAx>
        <c:axId val="43837920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43837881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2010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-9.729498098451984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791C-4799-BD23-BC726777B404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1.9493177387914229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791C-4799-BD23-BC726777B404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3.8986354775828458E-3"/>
                  <c:y val="6.477732793522266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791C-4799-BD23-BC726777B404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1.9493177387914587E-3"/>
                  <c:y val="1.29554655870445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791C-4799-BD23-BC726777B404}"/>
                </c:ext>
                <c:ext xmlns:c15="http://schemas.microsoft.com/office/drawing/2012/chart" uri="{CE6537A1-D6FC-4f65-9D91-7224C49458BB}"/>
              </c:extLst>
            </c:dLbl>
            <c:dLbl>
              <c:idx val="14"/>
              <c:layout>
                <c:manualLayout>
                  <c:x val="0"/>
                  <c:y val="-6.477732793522266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2F78-476E-B5CE-387EFCA84EAD}"/>
                </c:ext>
                <c:ext xmlns:c15="http://schemas.microsoft.com/office/drawing/2012/chart" uri="{CE6537A1-D6FC-4f65-9D91-7224C49458BB}"/>
              </c:extLst>
            </c:dLbl>
            <c:dLbl>
              <c:idx val="16"/>
              <c:layout>
                <c:manualLayout>
                  <c:x val="-1.9546520719311961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791C-4799-BD23-BC726777B404}"/>
                </c:ext>
                <c:ext xmlns:c15="http://schemas.microsoft.com/office/drawing/2012/chart" uri="{CE6537A1-D6FC-4f65-9D91-7224C49458BB}"/>
              </c:extLst>
            </c:dLbl>
            <c:dLbl>
              <c:idx val="18"/>
              <c:layout>
                <c:manualLayout>
                  <c:x val="-1.9546520719311961E-3"/>
                  <c:y val="1.3407072230601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791C-4799-BD23-BC726777B404}"/>
                </c:ext>
                <c:ext xmlns:c15="http://schemas.microsoft.com/office/drawing/2012/chart" uri="{CE6537A1-D6FC-4f65-9D91-7224C49458BB}"/>
              </c:extLst>
            </c:dLbl>
            <c:dLbl>
              <c:idx val="19"/>
              <c:layout>
                <c:manualLayout>
                  <c:x val="-1.9493177387914229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791C-4799-BD23-BC726777B404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Arkusz1!$A$2:$A$22</c:f>
              <c:strCache>
                <c:ptCount val="21"/>
                <c:pt idx="0">
                  <c:v>Słowenia</c:v>
                </c:pt>
                <c:pt idx="1">
                  <c:v>Rumunia</c:v>
                </c:pt>
                <c:pt idx="2">
                  <c:v>Portugalia</c:v>
                </c:pt>
                <c:pt idx="3">
                  <c:v>Polska</c:v>
                </c:pt>
                <c:pt idx="4">
                  <c:v>Bułgaria</c:v>
                </c:pt>
                <c:pt idx="5">
                  <c:v>Francja</c:v>
                </c:pt>
                <c:pt idx="6">
                  <c:v>Litwa</c:v>
                </c:pt>
                <c:pt idx="7">
                  <c:v>Łotwa</c:v>
                </c:pt>
                <c:pt idx="8">
                  <c:v>Grecja</c:v>
                </c:pt>
                <c:pt idx="9">
                  <c:v>Chorwacja</c:v>
                </c:pt>
                <c:pt idx="10">
                  <c:v>Luksemburg</c:v>
                </c:pt>
                <c:pt idx="11">
                  <c:v>Węgry</c:v>
                </c:pt>
                <c:pt idx="12">
                  <c:v>Irlandia</c:v>
                </c:pt>
                <c:pt idx="13">
                  <c:v>Wielka Brytania</c:v>
                </c:pt>
                <c:pt idx="14">
                  <c:v>Holandia</c:v>
                </c:pt>
                <c:pt idx="15">
                  <c:v>Estonia</c:v>
                </c:pt>
                <c:pt idx="16">
                  <c:v>Malta</c:v>
                </c:pt>
                <c:pt idx="17">
                  <c:v>Słowacja</c:v>
                </c:pt>
                <c:pt idx="18">
                  <c:v>Czechy</c:v>
                </c:pt>
                <c:pt idx="19">
                  <c:v>Hiszpania</c:v>
                </c:pt>
                <c:pt idx="20">
                  <c:v>Belgia</c:v>
                </c:pt>
              </c:strCache>
            </c:strRef>
          </c:cat>
          <c:val>
            <c:numRef>
              <c:f>Arkusz1!$B$2:$B$22</c:f>
              <c:numCache>
                <c:formatCode>0.0</c:formatCode>
                <c:ptCount val="21"/>
                <c:pt idx="0" formatCode="General">
                  <c:v>19.2</c:v>
                </c:pt>
                <c:pt idx="1">
                  <c:v>4</c:v>
                </c:pt>
                <c:pt idx="2" formatCode="General">
                  <c:v>16.8</c:v>
                </c:pt>
                <c:pt idx="3" formatCode="General">
                  <c:v>8.1</c:v>
                </c:pt>
                <c:pt idx="4" formatCode="General">
                  <c:v>3.4</c:v>
                </c:pt>
                <c:pt idx="5" formatCode="General">
                  <c:v>8.3000000000000007</c:v>
                </c:pt>
                <c:pt idx="6" formatCode="General">
                  <c:v>13.7</c:v>
                </c:pt>
                <c:pt idx="7" formatCode="General">
                  <c:v>11.9</c:v>
                </c:pt>
                <c:pt idx="8" formatCode="General">
                  <c:v>6.2</c:v>
                </c:pt>
                <c:pt idx="9" formatCode="General">
                  <c:v>9.6999999999999993</c:v>
                </c:pt>
                <c:pt idx="10" formatCode="General">
                  <c:v>9.9</c:v>
                </c:pt>
                <c:pt idx="11" formatCode="General">
                  <c:v>3.2</c:v>
                </c:pt>
                <c:pt idx="12" formatCode="General">
                  <c:v>9.1999999999999993</c:v>
                </c:pt>
                <c:pt idx="13" formatCode="General">
                  <c:v>4.9000000000000004</c:v>
                </c:pt>
                <c:pt idx="14" formatCode="General">
                  <c:v>3.3</c:v>
                </c:pt>
                <c:pt idx="15" formatCode="General">
                  <c:v>3.8</c:v>
                </c:pt>
                <c:pt idx="16" formatCode="General">
                  <c:v>3.6</c:v>
                </c:pt>
                <c:pt idx="17" formatCode="General">
                  <c:v>4.7</c:v>
                </c:pt>
                <c:pt idx="18" formatCode="General">
                  <c:v>1.9</c:v>
                </c:pt>
                <c:pt idx="19" formatCode="General">
                  <c:v>1.1000000000000001</c:v>
                </c:pt>
                <c:pt idx="20" formatCode="General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791C-4799-BD23-BC726777B404}"/>
            </c:ext>
          </c:extLst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2014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1.9567962167994307E-2"/>
                  <c:y val="1.30229154048051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791C-4799-BD23-BC726777B404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9.7465886939571145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791C-4799-BD23-BC726777B404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1.1695906432748466E-2"/>
                  <c:y val="6.477732793522266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791C-4799-BD23-BC726777B404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5.8422289050603371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791C-4799-BD23-BC726777B404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3.8986354775828458E-3"/>
                  <c:y val="-5.9378531328093245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791C-4799-BD23-BC726777B404}"/>
                </c:ext>
                <c:ext xmlns:c15="http://schemas.microsoft.com/office/drawing/2012/chart" uri="{CE6537A1-D6FC-4f65-9D91-7224C49458BB}"/>
              </c:extLst>
            </c:dLbl>
            <c:dLbl>
              <c:idx val="13"/>
              <c:layout>
                <c:manualLayout>
                  <c:x val="3.9093041438623922E-3"/>
                  <c:y val="1.34070722306016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791C-4799-BD23-BC726777B404}"/>
                </c:ext>
                <c:ext xmlns:c15="http://schemas.microsoft.com/office/drawing/2012/chart" uri="{CE6537A1-D6FC-4f65-9D91-7224C49458BB}"/>
              </c:extLst>
            </c:dLbl>
            <c:dLbl>
              <c:idx val="14"/>
              <c:layout>
                <c:manualLayout>
                  <c:x val="5.8692882687909629E-3"/>
                  <c:y val="1.64200325161783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791C-4799-BD23-BC726777B404}"/>
                </c:ext>
                <c:ext xmlns:c15="http://schemas.microsoft.com/office/drawing/2012/chart" uri="{CE6537A1-D6FC-4f65-9D91-7224C49458BB}"/>
              </c:extLst>
            </c:dLbl>
            <c:dLbl>
              <c:idx val="15"/>
              <c:layout>
                <c:manualLayout>
                  <c:x val="3.9093041438623922E-3"/>
                  <c:y val="2.34623764035528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791C-4799-BD23-BC726777B404}"/>
                </c:ext>
                <c:ext xmlns:c15="http://schemas.microsoft.com/office/drawing/2012/chart" uri="{CE6537A1-D6FC-4f65-9D91-7224C49458BB}"/>
              </c:extLst>
            </c:dLbl>
            <c:dLbl>
              <c:idx val="16"/>
              <c:layout>
                <c:manualLayout>
                  <c:x val="7.8080152261669044E-3"/>
                  <c:y val="2.01105550065349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0-791C-4799-BD23-BC726777B404}"/>
                </c:ext>
                <c:ext xmlns:c15="http://schemas.microsoft.com/office/drawing/2012/chart" uri="{CE6537A1-D6FC-4f65-9D91-7224C49458BB}"/>
              </c:extLst>
            </c:dLbl>
            <c:dLbl>
              <c:idx val="17"/>
              <c:layout>
                <c:manualLayout>
                  <c:x val="5.8479532163742687E-3"/>
                  <c:y val="3.238866396761133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1-791C-4799-BD23-BC726777B404}"/>
                </c:ext>
                <c:ext xmlns:c15="http://schemas.microsoft.com/office/drawing/2012/chart" uri="{CE6537A1-D6FC-4f65-9D91-7224C49458BB}"/>
              </c:extLst>
            </c:dLbl>
            <c:dLbl>
              <c:idx val="19"/>
              <c:layout>
                <c:manualLayout>
                  <c:x val="1.9546520719311961E-3"/>
                  <c:y val="2.01106083459024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2-791C-4799-BD23-BC726777B404}"/>
                </c:ext>
                <c:ext xmlns:c15="http://schemas.microsoft.com/office/drawing/2012/chart" uri="{CE6537A1-D6FC-4f65-9D91-7224C49458BB}"/>
              </c:extLst>
            </c:dLbl>
            <c:dLbl>
              <c:idx val="20"/>
              <c:layout>
                <c:manualLayout>
                  <c:x val="7.8080152261669044E-3"/>
                  <c:y val="-3.351844177372565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3-791C-4799-BD23-BC726777B404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Arkusz1!$A$2:$A$22</c:f>
              <c:strCache>
                <c:ptCount val="21"/>
                <c:pt idx="0">
                  <c:v>Słowenia</c:v>
                </c:pt>
                <c:pt idx="1">
                  <c:v>Rumunia</c:v>
                </c:pt>
                <c:pt idx="2">
                  <c:v>Portugalia</c:v>
                </c:pt>
                <c:pt idx="3">
                  <c:v>Polska</c:v>
                </c:pt>
                <c:pt idx="4">
                  <c:v>Bułgaria</c:v>
                </c:pt>
                <c:pt idx="5">
                  <c:v>Francja</c:v>
                </c:pt>
                <c:pt idx="6">
                  <c:v>Litwa</c:v>
                </c:pt>
                <c:pt idx="7">
                  <c:v>Łotwa</c:v>
                </c:pt>
                <c:pt idx="8">
                  <c:v>Grecja</c:v>
                </c:pt>
                <c:pt idx="9">
                  <c:v>Chorwacja</c:v>
                </c:pt>
                <c:pt idx="10">
                  <c:v>Luksemburg</c:v>
                </c:pt>
                <c:pt idx="11">
                  <c:v>Węgry</c:v>
                </c:pt>
                <c:pt idx="12">
                  <c:v>Irlandia</c:v>
                </c:pt>
                <c:pt idx="13">
                  <c:v>Wielka Brytania</c:v>
                </c:pt>
                <c:pt idx="14">
                  <c:v>Holandia</c:v>
                </c:pt>
                <c:pt idx="15">
                  <c:v>Estonia</c:v>
                </c:pt>
                <c:pt idx="16">
                  <c:v>Malta</c:v>
                </c:pt>
                <c:pt idx="17">
                  <c:v>Słowacja</c:v>
                </c:pt>
                <c:pt idx="18">
                  <c:v>Czechy</c:v>
                </c:pt>
                <c:pt idx="19">
                  <c:v>Hiszpania</c:v>
                </c:pt>
                <c:pt idx="20">
                  <c:v>Belgia</c:v>
                </c:pt>
              </c:strCache>
            </c:strRef>
          </c:cat>
          <c:val>
            <c:numRef>
              <c:f>Arkusz1!$C$2:$C$22</c:f>
              <c:numCache>
                <c:formatCode>0.0</c:formatCode>
                <c:ptCount val="21"/>
                <c:pt idx="0">
                  <c:v>19.100000000000001</c:v>
                </c:pt>
                <c:pt idx="1">
                  <c:v>15.7</c:v>
                </c:pt>
                <c:pt idx="2">
                  <c:v>13</c:v>
                </c:pt>
                <c:pt idx="3">
                  <c:v>11.7</c:v>
                </c:pt>
                <c:pt idx="4">
                  <c:v>8.8000000000000007</c:v>
                </c:pt>
                <c:pt idx="5">
                  <c:v>8.4</c:v>
                </c:pt>
                <c:pt idx="6">
                  <c:v>8.1</c:v>
                </c:pt>
                <c:pt idx="7">
                  <c:v>7.9</c:v>
                </c:pt>
                <c:pt idx="8">
                  <c:v>7.7</c:v>
                </c:pt>
                <c:pt idx="9">
                  <c:v>7.1</c:v>
                </c:pt>
                <c:pt idx="10">
                  <c:v>5.8</c:v>
                </c:pt>
                <c:pt idx="11">
                  <c:v>5.5</c:v>
                </c:pt>
                <c:pt idx="12">
                  <c:v>4.0999999999999996</c:v>
                </c:pt>
                <c:pt idx="13">
                  <c:v>3.5</c:v>
                </c:pt>
                <c:pt idx="14">
                  <c:v>3.4</c:v>
                </c:pt>
                <c:pt idx="15">
                  <c:v>3.2</c:v>
                </c:pt>
                <c:pt idx="16">
                  <c:v>3.1</c:v>
                </c:pt>
                <c:pt idx="17">
                  <c:v>2.5</c:v>
                </c:pt>
                <c:pt idx="18">
                  <c:v>2.4</c:v>
                </c:pt>
                <c:pt idx="19">
                  <c:v>1</c:v>
                </c:pt>
                <c:pt idx="20">
                  <c:v>0.4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4-791C-4799-BD23-BC726777B40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34318632"/>
        <c:axId val="434315888"/>
      </c:barChart>
      <c:catAx>
        <c:axId val="4343186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434315888"/>
        <c:crosses val="autoZero"/>
        <c:auto val="1"/>
        <c:lblAlgn val="ctr"/>
        <c:lblOffset val="100"/>
        <c:noMultiLvlLbl val="0"/>
      </c:catAx>
      <c:valAx>
        <c:axId val="4343158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4343186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73CB1-DF7A-46B3-BB52-01D55E915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1363</Words>
  <Characters>8179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23</vt:lpstr>
    </vt:vector>
  </TitlesOfParts>
  <Company>Hewlett-Packard</Company>
  <LinksUpToDate>false</LinksUpToDate>
  <CharactersWithSpaces>9523</CharactersWithSpaces>
  <SharedDoc>false</SharedDoc>
  <HLinks>
    <vt:vector size="36" baseType="variant">
      <vt:variant>
        <vt:i4>1048592</vt:i4>
      </vt:variant>
      <vt:variant>
        <vt:i4>15</vt:i4>
      </vt:variant>
      <vt:variant>
        <vt:i4>0</vt:i4>
      </vt:variant>
      <vt:variant>
        <vt:i4>5</vt:i4>
      </vt:variant>
      <vt:variant>
        <vt:lpwstr>http://www.wynagrodzenia.pl/</vt:lpwstr>
      </vt:variant>
      <vt:variant>
        <vt:lpwstr/>
      </vt:variant>
      <vt:variant>
        <vt:i4>262217</vt:i4>
      </vt:variant>
      <vt:variant>
        <vt:i4>12</vt:i4>
      </vt:variant>
      <vt:variant>
        <vt:i4>0</vt:i4>
      </vt:variant>
      <vt:variant>
        <vt:i4>5</vt:i4>
      </vt:variant>
      <vt:variant>
        <vt:lpwstr>http://www.wynagrodzenia.pl/obw.php/p.118</vt:lpwstr>
      </vt:variant>
      <vt:variant>
        <vt:lpwstr/>
      </vt:variant>
      <vt:variant>
        <vt:i4>262217</vt:i4>
      </vt:variant>
      <vt:variant>
        <vt:i4>9</vt:i4>
      </vt:variant>
      <vt:variant>
        <vt:i4>0</vt:i4>
      </vt:variant>
      <vt:variant>
        <vt:i4>5</vt:i4>
      </vt:variant>
      <vt:variant>
        <vt:lpwstr>http://www.wynagrodzenia.pl/obw.php/p.118</vt:lpwstr>
      </vt:variant>
      <vt:variant>
        <vt:lpwstr/>
      </vt:variant>
      <vt:variant>
        <vt:i4>6684737</vt:i4>
      </vt:variant>
      <vt:variant>
        <vt:i4>6</vt:i4>
      </vt:variant>
      <vt:variant>
        <vt:i4>0</vt:i4>
      </vt:variant>
      <vt:variant>
        <vt:i4>5</vt:i4>
      </vt:variant>
      <vt:variant>
        <vt:lpwstr>http://wynagrodzenia.pl/raporty_1.php/wpis.97</vt:lpwstr>
      </vt:variant>
      <vt:variant>
        <vt:lpwstr/>
      </vt:variant>
      <vt:variant>
        <vt:i4>6684737</vt:i4>
      </vt:variant>
      <vt:variant>
        <vt:i4>3</vt:i4>
      </vt:variant>
      <vt:variant>
        <vt:i4>0</vt:i4>
      </vt:variant>
      <vt:variant>
        <vt:i4>5</vt:i4>
      </vt:variant>
      <vt:variant>
        <vt:lpwstr>http://wynagrodzenia.pl/raporty_1.php/wpis.97</vt:lpwstr>
      </vt:variant>
      <vt:variant>
        <vt:lpwstr/>
      </vt:variant>
      <vt:variant>
        <vt:i4>4063252</vt:i4>
      </vt:variant>
      <vt:variant>
        <vt:i4>0</vt:i4>
      </vt:variant>
      <vt:variant>
        <vt:i4>0</vt:i4>
      </vt:variant>
      <vt:variant>
        <vt:i4>5</vt:i4>
      </vt:variant>
      <vt:variant>
        <vt:lpwstr>mailto:witek@sedlak.pl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</dc:title>
  <dc:creator>Małgorzata Sikora</dc:creator>
  <cp:lastModifiedBy>Grzegorz Poręba</cp:lastModifiedBy>
  <cp:revision>3</cp:revision>
  <cp:lastPrinted>2018-05-10T12:48:00Z</cp:lastPrinted>
  <dcterms:created xsi:type="dcterms:W3CDTF">2018-05-10T12:49:00Z</dcterms:created>
  <dcterms:modified xsi:type="dcterms:W3CDTF">2018-05-10T12:53:00Z</dcterms:modified>
</cp:coreProperties>
</file>