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864BFD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04.03.2018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864BFD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  <w:bookmarkStart w:id="0" w:name="_GoBack"/>
      <w:bookmarkEnd w:id="0"/>
      <w:r w:rsidRPr="00864BFD">
        <w:rPr>
          <w:rFonts w:ascii="Calibri" w:eastAsia="Calibri" w:hAnsi="Calibri"/>
          <w:b/>
          <w:caps/>
          <w:color w:val="2A305C"/>
          <w:sz w:val="40"/>
          <w:szCs w:val="40"/>
        </w:rPr>
        <w:t>Kobiety w IT</w:t>
      </w: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  <w:r w:rsidRPr="00864BFD">
        <w:rPr>
          <w:rFonts w:ascii="Calibri" w:eastAsia="Calibri" w:hAnsi="Calibri"/>
          <w:b/>
          <w:caps/>
          <w:color w:val="2A305C"/>
          <w:sz w:val="40"/>
          <w:szCs w:val="40"/>
        </w:rPr>
        <w:t>– czy zarabiają tyle co mężczyźni?</w:t>
      </w: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  <w:b/>
        </w:rPr>
        <w:t xml:space="preserve">Z okazji Dnia Kobiet przygotowaliśmy porównanie zarobków kobiet i mężczyzn a pod lupę wzięliśmy branżę IT. Charakteryzuje się ona deficytem wykwalifikowanych pracowników a co za tym idzie wysokimi zarobkami. Poniżej przedstawiamy wyniki naszego porównania. Źródłem prezentowanych stawek wynagrodzeń jest </w:t>
      </w:r>
      <w:r w:rsidRPr="00864BFD">
        <w:rPr>
          <w:rFonts w:ascii="Calibri" w:eastAsia="Calibri" w:hAnsi="Calibri"/>
          <w:b/>
          <w:color w:val="A5A88C"/>
          <w:u w:val="single"/>
        </w:rPr>
        <w:t xml:space="preserve">Raport płacowy Sedlak </w:t>
      </w:r>
      <w:r w:rsidRPr="00864BFD">
        <w:rPr>
          <w:rFonts w:ascii="Calibri" w:eastAsia="Calibri" w:hAnsi="Calibri"/>
          <w:b/>
          <w:color w:val="A5A88C"/>
          <w:sz w:val="20"/>
          <w:szCs w:val="20"/>
          <w:u w:val="single"/>
        </w:rPr>
        <w:t>&amp;</w:t>
      </w:r>
      <w:r w:rsidRPr="00864BFD">
        <w:rPr>
          <w:rFonts w:ascii="Calibri" w:eastAsia="Calibri" w:hAnsi="Calibri"/>
          <w:b/>
          <w:color w:val="A5A88C"/>
          <w:u w:val="single"/>
        </w:rPr>
        <w:t xml:space="preserve"> Sedlak dla branży IT 2018</w:t>
      </w:r>
      <w:r w:rsidRPr="00864BFD">
        <w:rPr>
          <w:rFonts w:ascii="Calibri" w:eastAsia="Calibri" w:hAnsi="Calibri"/>
          <w:b/>
        </w:rPr>
        <w:t>.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  <w:r w:rsidRPr="00864BFD">
        <w:rPr>
          <w:rFonts w:ascii="Calibri" w:eastAsia="Calibri" w:hAnsi="Calibri"/>
          <w:b/>
          <w:color w:val="1F497D"/>
          <w:sz w:val="26"/>
          <w:szCs w:val="26"/>
        </w:rPr>
        <w:t>Luka płacowa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t xml:space="preserve">Różnicę wynagrodzeń kobiet i mężczyzn określa się jako lukę płacową. Wyraża się ją w procentach, które oznaczają to, ile procent zarobków mężczyzn stanowią płace kobiet. Zaprezentowanie luki płacowej nie jest proste, gdyż najczęściej spotkać można różną strukturę zatrudnienia obu płci. Kobiety rzadziej zajmują wyższe stanowiska w hierarchii, które są lepiej opłacane. Z tego powodu porównywanie ogólnych danych mija się z celem. Porównywanie wynagrodzeń na tych samych stanowiskach również może być obarczone błędem. Wynika to z faktu, że wykonując nawet bardzo zbliżoną pracę wpływ na wysokość zarobków może mieć np. doświadczenie pracownika lub poziom wykształcenia, które dla obu płci może być różne.  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  <w:b/>
          <w:color w:val="1F497D"/>
          <w:sz w:val="26"/>
          <w:szCs w:val="26"/>
        </w:rPr>
        <w:t>Wynagrodzenia na poszczególnych szczeblach organizacji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t xml:space="preserve">Na poniższej tabeli zaprezentowano mediany wynagrodzeń kobiet i mężczyzn dla specjalistów i kierowników z różnym doświadczeniem. Dane potwierdzają powszechną opinie, że kobiety rzadziej pną się na wyższe poziomy stanowisk, gdzie zarobki są wyższe. Wśród młodszych specjalistów udział kobiet wyniósł najwięcej, bo 27%. Na kolejnych szczeblach udział ten był już mniejszy. Wśród starszych specjalistów wyniósł on już tylko 13%. 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lastRenderedPageBreak/>
        <w:t>Z prezentowanych danych wynika, że na stanowiskach specjalistów zarobki kobiet stanowiły od 80 do 86% zarobków mężczyzn. Najwyższa luka płacowa miała miejsce w przypadku doświadczonych specjalistów. Dla kierowników różnice te są jeszcze większe. Płace kobiet tam zatrudnionych stanowiły 3/4 płac mężczyzn.</w:t>
      </w: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  <w:r w:rsidRPr="00864BFD">
        <w:rPr>
          <w:rFonts w:ascii="Calibri" w:eastAsia="Calibri" w:hAnsi="Calibri"/>
          <w:b/>
          <w:color w:val="1F497D"/>
        </w:rPr>
        <w:t>Tabela 1. Zarobki kobiet i mężczyzn w branży IT w 2018 roku (brutto w PLN)</w:t>
      </w:r>
    </w:p>
    <w:tbl>
      <w:tblPr>
        <w:tblW w:w="96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9"/>
        <w:gridCol w:w="1362"/>
        <w:gridCol w:w="829"/>
        <w:gridCol w:w="1066"/>
        <w:gridCol w:w="1155"/>
        <w:gridCol w:w="2211"/>
      </w:tblGrid>
      <w:tr w:rsidR="00864BFD" w:rsidRPr="00864BFD" w:rsidTr="00E261D8">
        <w:trPr>
          <w:trHeight w:val="850"/>
          <w:jc w:val="center"/>
        </w:trPr>
        <w:tc>
          <w:tcPr>
            <w:tcW w:w="3059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bookmarkStart w:id="1" w:name="_Hlk939301"/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szczebel i poziom stanowiska</w:t>
            </w:r>
          </w:p>
        </w:tc>
        <w:tc>
          <w:tcPr>
            <w:tcW w:w="1362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płeć</w:t>
            </w:r>
          </w:p>
        </w:tc>
        <w:tc>
          <w:tcPr>
            <w:tcW w:w="829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066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odsetek kobiet</w:t>
            </w:r>
          </w:p>
        </w:tc>
        <w:tc>
          <w:tcPr>
            <w:tcW w:w="1155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wynagrodzenia kobiet (m=100%)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kierownik</w:t>
            </w: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580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22%</w:t>
            </w: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14 817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75%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/>
            <w:tcBorders>
              <w:left w:val="single" w:sz="8" w:space="0" w:color="FFFFFF"/>
              <w:bottom w:val="double" w:sz="4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double" w:sz="4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double" w:sz="4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160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double" w:sz="4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double" w:sz="4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11 174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double" w:sz="4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starszy specjalista</w:t>
            </w: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2 043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13%</w:t>
            </w: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10 835</w:t>
            </w:r>
          </w:p>
        </w:tc>
        <w:tc>
          <w:tcPr>
            <w:tcW w:w="2211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85%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298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9 250</w:t>
            </w:r>
          </w:p>
        </w:tc>
        <w:tc>
          <w:tcPr>
            <w:tcW w:w="2211" w:type="dxa"/>
            <w:vMerge/>
            <w:tcBorders>
              <w:top w:val="double" w:sz="4" w:space="0" w:color="FFDEBF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shd w:val="clear" w:color="auto" w:fill="auto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doświadczony specjalista</w:t>
            </w: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2 410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26%</w:t>
            </w: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7 525</w:t>
            </w:r>
          </w:p>
        </w:tc>
        <w:tc>
          <w:tcPr>
            <w:tcW w:w="2211" w:type="dxa"/>
            <w:vMerge w:val="restart"/>
            <w:tcBorders>
              <w:top w:val="single" w:sz="4" w:space="0" w:color="FFDEBF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80%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841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6 054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młodszy specjalista</w:t>
            </w: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1 258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27%</w:t>
            </w: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4 757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86%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059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477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4 099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</w:tbl>
    <w:bookmarkEnd w:id="1"/>
    <w:p w:rsidR="00864BFD" w:rsidRPr="00864BFD" w:rsidRDefault="00864BFD" w:rsidP="00864BFD">
      <w:pPr>
        <w:spacing w:line="276" w:lineRule="auto"/>
        <w:jc w:val="center"/>
        <w:rPr>
          <w:rFonts w:ascii="Calibri" w:eastAsia="Calibri" w:hAnsi="Calibri"/>
          <w:i/>
          <w:color w:val="565450"/>
          <w:sz w:val="20"/>
          <w:szCs w:val="20"/>
        </w:rPr>
      </w:pP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Źródło: Raport płacowy Sedlak </w:t>
      </w:r>
      <w:r w:rsidRPr="00864BFD">
        <w:rPr>
          <w:rFonts w:ascii="Calibri" w:eastAsia="Calibri" w:hAnsi="Calibri"/>
          <w:i/>
          <w:color w:val="565450"/>
          <w:sz w:val="16"/>
          <w:szCs w:val="16"/>
        </w:rPr>
        <w:t>&amp;</w:t>
      </w: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 Sedlak dla branży IT 2018</w:t>
      </w:r>
    </w:p>
    <w:p w:rsidR="00864BFD" w:rsidRPr="00864BFD" w:rsidRDefault="00864BFD" w:rsidP="00864BFD">
      <w:pPr>
        <w:spacing w:line="259" w:lineRule="auto"/>
        <w:jc w:val="both"/>
        <w:rPr>
          <w:rFonts w:ascii="Calibri" w:eastAsia="Calibri" w:hAnsi="Calibri"/>
          <w:b/>
          <w:i/>
          <w:color w:val="2A305C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  <w:r w:rsidRPr="00864BFD">
        <w:rPr>
          <w:rFonts w:ascii="Calibri" w:eastAsia="Calibri" w:hAnsi="Calibri"/>
          <w:b/>
          <w:color w:val="1F497D"/>
          <w:sz w:val="26"/>
          <w:szCs w:val="26"/>
        </w:rPr>
        <w:t>Wynagrodzenia na stanowiskach kierowniczych</w:t>
      </w:r>
    </w:p>
    <w:p w:rsid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t>Kobiety rzadko zajmują stanowiska kierownicze. Nie oznacza to jednak, że ich tam nie ma. Wśród kierowników projektu IT było tylko 28% kobiet, natomiast w przypadku kierownika zespołu programistów - 13%. Wynagrodzenia kobiet na tych stanowiskach stanowiły około 90% płac mężczyzn.</w:t>
      </w:r>
    </w:p>
    <w:p w:rsidR="00864BFD" w:rsidRDefault="00864BFD" w:rsidP="00864BFD">
      <w:pPr>
        <w:rPr>
          <w:rFonts w:eastAsia="Calibri"/>
        </w:rPr>
      </w:pPr>
      <w:r>
        <w:rPr>
          <w:rFonts w:eastAsia="Calibri"/>
        </w:rPr>
        <w:br w:type="page"/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  <w:r w:rsidRPr="00864BFD">
        <w:rPr>
          <w:rFonts w:ascii="Calibri" w:eastAsia="Calibri" w:hAnsi="Calibri"/>
          <w:b/>
          <w:color w:val="1F497D"/>
        </w:rPr>
        <w:t xml:space="preserve">Tabela 2. Zarobki kobiet i mężczyzn w branży IT </w:t>
      </w: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  <w:r w:rsidRPr="00864BFD">
        <w:rPr>
          <w:rFonts w:ascii="Calibri" w:eastAsia="Calibri" w:hAnsi="Calibri"/>
          <w:b/>
          <w:color w:val="1F497D"/>
        </w:rPr>
        <w:t>na wybranych stanowiskach kierowniczych w 2018 roku (brutto w PLN)</w:t>
      </w:r>
    </w:p>
    <w:tbl>
      <w:tblPr>
        <w:tblW w:w="105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62"/>
        <w:gridCol w:w="829"/>
        <w:gridCol w:w="1066"/>
        <w:gridCol w:w="1155"/>
        <w:gridCol w:w="2211"/>
      </w:tblGrid>
      <w:tr w:rsidR="00864BFD" w:rsidRPr="00864BFD" w:rsidTr="00E261D8">
        <w:trPr>
          <w:trHeight w:val="850"/>
          <w:jc w:val="center"/>
        </w:trPr>
        <w:tc>
          <w:tcPr>
            <w:tcW w:w="3969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bookmarkStart w:id="2" w:name="_Hlk939436"/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stanowisko</w:t>
            </w:r>
          </w:p>
        </w:tc>
        <w:tc>
          <w:tcPr>
            <w:tcW w:w="1362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płeć</w:t>
            </w:r>
          </w:p>
        </w:tc>
        <w:tc>
          <w:tcPr>
            <w:tcW w:w="829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066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odsetek kobiet</w:t>
            </w:r>
          </w:p>
        </w:tc>
        <w:tc>
          <w:tcPr>
            <w:tcW w:w="1155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wynagrodzenia kobiet (m=100%)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969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kierownik projektu IT</w:t>
            </w:r>
          </w:p>
        </w:tc>
        <w:tc>
          <w:tcPr>
            <w:tcW w:w="1362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149</w:t>
            </w:r>
          </w:p>
        </w:tc>
        <w:tc>
          <w:tcPr>
            <w:tcW w:w="1066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28%</w:t>
            </w:r>
          </w:p>
        </w:tc>
        <w:tc>
          <w:tcPr>
            <w:tcW w:w="1155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13 333</w:t>
            </w:r>
          </w:p>
        </w:tc>
        <w:tc>
          <w:tcPr>
            <w:tcW w:w="2211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90%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969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hideMark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58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12 021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969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kierownik zespołu programistów</w:t>
            </w: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13%</w:t>
            </w: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14 569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91%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969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829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21</w:t>
            </w:r>
          </w:p>
        </w:tc>
        <w:tc>
          <w:tcPr>
            <w:tcW w:w="1066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13 233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</w:tbl>
    <w:bookmarkEnd w:id="2"/>
    <w:p w:rsidR="00864BFD" w:rsidRPr="00864BFD" w:rsidRDefault="00864BFD" w:rsidP="00864BFD">
      <w:pPr>
        <w:spacing w:line="276" w:lineRule="auto"/>
        <w:jc w:val="center"/>
        <w:rPr>
          <w:rFonts w:ascii="Calibri" w:eastAsia="Calibri" w:hAnsi="Calibri"/>
          <w:i/>
          <w:color w:val="565450"/>
          <w:sz w:val="20"/>
          <w:szCs w:val="20"/>
        </w:rPr>
      </w:pP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Źródło: Raport płacowy Sedlak </w:t>
      </w:r>
      <w:r w:rsidRPr="00864BFD">
        <w:rPr>
          <w:rFonts w:ascii="Calibri" w:eastAsia="Calibri" w:hAnsi="Calibri"/>
          <w:i/>
          <w:color w:val="565450"/>
          <w:sz w:val="16"/>
          <w:szCs w:val="16"/>
        </w:rPr>
        <w:t>&amp;</w:t>
      </w: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 Sedlak dla branży IT 2018</w:t>
      </w:r>
    </w:p>
    <w:p w:rsidR="00864BFD" w:rsidRPr="00864BFD" w:rsidRDefault="00864BFD" w:rsidP="00864BFD">
      <w:pPr>
        <w:spacing w:line="276" w:lineRule="auto"/>
        <w:rPr>
          <w:rFonts w:ascii="Calibri" w:eastAsia="Calibri" w:hAnsi="Calibri"/>
          <w:b/>
          <w:i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  <w:r w:rsidRPr="00864BFD">
        <w:rPr>
          <w:rFonts w:ascii="Calibri" w:eastAsia="Calibri" w:hAnsi="Calibri"/>
          <w:b/>
          <w:color w:val="1F497D"/>
          <w:sz w:val="26"/>
          <w:szCs w:val="26"/>
        </w:rPr>
        <w:t>Wynagrodzenia specjalistów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t xml:space="preserve">W </w:t>
      </w:r>
      <w:hyperlink r:id="rId10" w:history="1">
        <w:r w:rsidRPr="00864BFD">
          <w:rPr>
            <w:rFonts w:ascii="Calibri" w:eastAsia="Calibri" w:hAnsi="Calibri"/>
            <w:color w:val="A5A88C"/>
            <w:u w:val="single"/>
          </w:rPr>
          <w:t xml:space="preserve">Raporcie płacowym Sedlak </w:t>
        </w:r>
        <w:r w:rsidRPr="00864BFD">
          <w:rPr>
            <w:rFonts w:ascii="Calibri" w:eastAsia="Calibri" w:hAnsi="Calibri"/>
            <w:color w:val="A5A88C"/>
            <w:sz w:val="20"/>
            <w:szCs w:val="20"/>
            <w:u w:val="single"/>
          </w:rPr>
          <w:t>&amp;</w:t>
        </w:r>
        <w:r w:rsidRPr="00864BFD">
          <w:rPr>
            <w:rFonts w:ascii="Calibri" w:eastAsia="Calibri" w:hAnsi="Calibri"/>
            <w:color w:val="A5A88C"/>
            <w:u w:val="single"/>
          </w:rPr>
          <w:t xml:space="preserve"> Sedlak dla branży IT</w:t>
        </w:r>
      </w:hyperlink>
      <w:r w:rsidRPr="00864BFD">
        <w:rPr>
          <w:rFonts w:ascii="Calibri" w:eastAsia="Calibri" w:hAnsi="Calibri"/>
        </w:rPr>
        <w:t xml:space="preserve">, wśród specjalistów największą grupę stanowią programiści. Na tych stanowiskach odsetek kobiet jest znikomy. Tylko w pojedynczych przypadkach udział kobiet był większy niż 10%, dlatego postanowiliśmy nie prezentować takich danych. </w:t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  <w:r w:rsidRPr="00864BFD">
        <w:rPr>
          <w:rFonts w:ascii="Calibri" w:eastAsia="Calibri" w:hAnsi="Calibri"/>
        </w:rPr>
        <w:t xml:space="preserve">Poniżej zaprezentowano wynagrodzenia na wybranych stanowiskach nieprogramistycznych doświadczonych specjalistów. Mimo tego samego stanowiska i tego samego poziomu doświadczenia, pensje kobiet stanowiły od 80 do 91% wynagrodzeń mężczyzn. Największe różnice w zarobkach kobiet i mężczyzn miały miejsce na stanowisku doświadczonego projektanta systemowego. Płace doświadczonych specjalistów data </w:t>
      </w:r>
      <w:proofErr w:type="spellStart"/>
      <w:r w:rsidRPr="00864BFD">
        <w:rPr>
          <w:rFonts w:ascii="Calibri" w:eastAsia="Calibri" w:hAnsi="Calibri"/>
        </w:rPr>
        <w:t>scientist</w:t>
      </w:r>
      <w:proofErr w:type="spellEnd"/>
      <w:r w:rsidRPr="00864BFD">
        <w:rPr>
          <w:rFonts w:ascii="Calibri" w:eastAsia="Calibri" w:hAnsi="Calibri"/>
        </w:rPr>
        <w:t xml:space="preserve"> były z kolei najbardziej do siebie zbliżone.</w:t>
      </w:r>
    </w:p>
    <w:p w:rsidR="00864BFD" w:rsidRDefault="00864BFD">
      <w:pPr>
        <w:rPr>
          <w:rFonts w:ascii="Calibri" w:eastAsia="Calibri" w:hAnsi="Calibri"/>
        </w:rPr>
      </w:pPr>
      <w:r>
        <w:rPr>
          <w:rFonts w:ascii="Calibri" w:eastAsia="Calibri" w:hAnsi="Calibri"/>
        </w:rPr>
        <w:br w:type="page"/>
      </w:r>
    </w:p>
    <w:p w:rsidR="00864BFD" w:rsidRPr="00864BFD" w:rsidRDefault="00864BFD" w:rsidP="00864BFD">
      <w:pPr>
        <w:spacing w:line="276" w:lineRule="auto"/>
        <w:jc w:val="both"/>
        <w:rPr>
          <w:rFonts w:ascii="Calibri" w:eastAsia="Calibri" w:hAnsi="Calibri"/>
        </w:rPr>
      </w:pP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  <w:r w:rsidRPr="00864BFD">
        <w:rPr>
          <w:rFonts w:ascii="Calibri" w:eastAsia="Calibri" w:hAnsi="Calibri"/>
          <w:b/>
          <w:color w:val="1F497D"/>
        </w:rPr>
        <w:t xml:space="preserve">Tabela 3. Zarobki kobiet i mężczyzn w branży IT </w:t>
      </w:r>
    </w:p>
    <w:p w:rsidR="00864BFD" w:rsidRPr="00864BFD" w:rsidRDefault="00864BFD" w:rsidP="00864BFD">
      <w:pPr>
        <w:spacing w:line="259" w:lineRule="auto"/>
        <w:jc w:val="center"/>
        <w:rPr>
          <w:rFonts w:ascii="Calibri" w:eastAsia="Calibri" w:hAnsi="Calibri"/>
          <w:b/>
          <w:color w:val="1F497D"/>
        </w:rPr>
      </w:pPr>
      <w:r w:rsidRPr="00864BFD">
        <w:rPr>
          <w:rFonts w:ascii="Calibri" w:eastAsia="Calibri" w:hAnsi="Calibri"/>
          <w:b/>
          <w:color w:val="1F497D"/>
        </w:rPr>
        <w:t>na wybranych stanowiskach specjalistycznych w 2018 roku (brutto w PLN)</w:t>
      </w:r>
    </w:p>
    <w:tbl>
      <w:tblPr>
        <w:tblW w:w="103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5"/>
        <w:gridCol w:w="1417"/>
        <w:gridCol w:w="907"/>
        <w:gridCol w:w="1417"/>
        <w:gridCol w:w="1191"/>
        <w:gridCol w:w="2211"/>
      </w:tblGrid>
      <w:tr w:rsidR="00864BFD" w:rsidRPr="00864BFD" w:rsidTr="00E261D8">
        <w:trPr>
          <w:trHeight w:val="850"/>
          <w:jc w:val="center"/>
        </w:trPr>
        <w:tc>
          <w:tcPr>
            <w:tcW w:w="3175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bookmarkStart w:id="3" w:name="_Hlk939580"/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stanowisko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płeć</w:t>
            </w:r>
          </w:p>
        </w:tc>
        <w:tc>
          <w:tcPr>
            <w:tcW w:w="907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odsetek kobiet</w:t>
            </w:r>
          </w:p>
        </w:tc>
        <w:tc>
          <w:tcPr>
            <w:tcW w:w="1191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right w:val="single" w:sz="8" w:space="0" w:color="FFFFFF"/>
            </w:tcBorders>
            <w:shd w:val="clear" w:color="000000" w:fill="FFF2E9"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wynagrodzenia kobiet (m=100%)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 xml:space="preserve">doświadczony data </w:t>
            </w:r>
            <w:proofErr w:type="spellStart"/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scientist</w:t>
            </w:r>
            <w:proofErr w:type="spellEnd"/>
          </w:p>
        </w:tc>
        <w:tc>
          <w:tcPr>
            <w:tcW w:w="1417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907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52%</w:t>
            </w:r>
          </w:p>
        </w:tc>
        <w:tc>
          <w:tcPr>
            <w:tcW w:w="1191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7 850</w:t>
            </w:r>
          </w:p>
        </w:tc>
        <w:tc>
          <w:tcPr>
            <w:tcW w:w="2211" w:type="dxa"/>
            <w:vMerge w:val="restart"/>
            <w:tcBorders>
              <w:top w:val="single" w:sz="8" w:space="0" w:color="FFDEBF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91%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44</w:t>
            </w:r>
          </w:p>
        </w:tc>
        <w:tc>
          <w:tcPr>
            <w:tcW w:w="1417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7 128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doświadczony analityk biznesowy</w:t>
            </w: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99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39%</w:t>
            </w: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9 500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82%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62</w:t>
            </w:r>
          </w:p>
        </w:tc>
        <w:tc>
          <w:tcPr>
            <w:tcW w:w="1417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7 796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doświadczony projektant systemowy</w:t>
            </w: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37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49%</w:t>
            </w: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9 950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80%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35</w:t>
            </w:r>
          </w:p>
        </w:tc>
        <w:tc>
          <w:tcPr>
            <w:tcW w:w="1417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8 000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doświadczony tester oprogramowania</w:t>
            </w: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mężczyzna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124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46%</w:t>
            </w: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6 825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89%</w:t>
            </w:r>
          </w:p>
        </w:tc>
      </w:tr>
      <w:tr w:rsidR="00864BFD" w:rsidRPr="00864BFD" w:rsidTr="00E261D8">
        <w:trPr>
          <w:trHeight w:val="567"/>
          <w:jc w:val="center"/>
        </w:trPr>
        <w:tc>
          <w:tcPr>
            <w:tcW w:w="3175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kobieta</w:t>
            </w:r>
          </w:p>
        </w:tc>
        <w:tc>
          <w:tcPr>
            <w:tcW w:w="907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  <w:t>106</w:t>
            </w:r>
          </w:p>
        </w:tc>
        <w:tc>
          <w:tcPr>
            <w:tcW w:w="1417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</w:tcPr>
          <w:p w:rsidR="00864BFD" w:rsidRPr="00864BFD" w:rsidRDefault="00864BFD" w:rsidP="00864BFD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864BFD">
              <w:rPr>
                <w:rFonts w:ascii="Calibri" w:eastAsia="Calibri" w:hAnsi="Calibri"/>
                <w:b/>
                <w:color w:val="565350"/>
                <w:sz w:val="28"/>
                <w:szCs w:val="28"/>
                <w:lang w:eastAsia="pl-PL"/>
              </w:rPr>
              <w:t>6 095</w:t>
            </w:r>
          </w:p>
        </w:tc>
        <w:tc>
          <w:tcPr>
            <w:tcW w:w="2211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</w:tcPr>
          <w:p w:rsidR="00864BFD" w:rsidRPr="00864BFD" w:rsidRDefault="00864BFD" w:rsidP="00864BFD">
            <w:pPr>
              <w:spacing w:after="160" w:line="276" w:lineRule="auto"/>
              <w:jc w:val="center"/>
              <w:rPr>
                <w:rFonts w:ascii="Calibri" w:eastAsia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</w:tbl>
    <w:bookmarkEnd w:id="3"/>
    <w:p w:rsidR="0000005A" w:rsidRPr="00864BFD" w:rsidRDefault="00864BFD" w:rsidP="00864BFD">
      <w:pPr>
        <w:spacing w:line="276" w:lineRule="auto"/>
        <w:jc w:val="center"/>
        <w:rPr>
          <w:rFonts w:ascii="Calibri" w:eastAsia="Calibri" w:hAnsi="Calibri"/>
          <w:i/>
          <w:color w:val="565450"/>
          <w:sz w:val="20"/>
          <w:szCs w:val="20"/>
        </w:rPr>
      </w:pP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Źródło: Raport płacowy Sedlak </w:t>
      </w:r>
      <w:r w:rsidRPr="00864BFD">
        <w:rPr>
          <w:rFonts w:ascii="Calibri" w:eastAsia="Calibri" w:hAnsi="Calibri"/>
          <w:i/>
          <w:color w:val="565450"/>
          <w:sz w:val="16"/>
          <w:szCs w:val="16"/>
        </w:rPr>
        <w:t>&amp;</w:t>
      </w:r>
      <w:r w:rsidRPr="00864BFD">
        <w:rPr>
          <w:rFonts w:ascii="Calibri" w:eastAsia="Calibri" w:hAnsi="Calibri"/>
          <w:i/>
          <w:color w:val="565450"/>
          <w:sz w:val="20"/>
          <w:szCs w:val="20"/>
        </w:rPr>
        <w:t xml:space="preserve"> Sedlak dla branży IT 2018</w:t>
      </w: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3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4"/>
      <w:footerReference w:type="default" r:id="rId15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564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64BFD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ynagrodzenia.pl/t/ogolnopolskie-badanie-wynagrodzen-n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ynagrodzenia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ynagrodzenia.pl/raport-placowy/raport-placowy-sedlak-amp-sedlak-dla-branzy-it-201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B383-9622-4FA2-A71D-D377FD3D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5165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2</cp:revision>
  <cp:lastPrinted>2016-12-19T13:09:00Z</cp:lastPrinted>
  <dcterms:created xsi:type="dcterms:W3CDTF">2019-03-04T09:23:00Z</dcterms:created>
  <dcterms:modified xsi:type="dcterms:W3CDTF">2019-03-04T09:23:00Z</dcterms:modified>
</cp:coreProperties>
</file>