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theme/themeOverride3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2F73" w:rsidRPr="00A217F4" w:rsidRDefault="00DF67BC" w:rsidP="00BC1378">
      <w:pPr>
        <w:pStyle w:val="Nagwek1"/>
        <w:spacing w:line="276" w:lineRule="auto"/>
        <w:ind w:left="0"/>
        <w:rPr>
          <w:rFonts w:asciiTheme="minorHAnsi" w:hAnsiTheme="minorHAnsi"/>
          <w:b w:val="0"/>
          <w:bCs w:val="0"/>
          <w:sz w:val="20"/>
        </w:rPr>
      </w:pPr>
      <w:r>
        <w:rPr>
          <w:rFonts w:asciiTheme="minorHAnsi" w:hAnsiTheme="minorHAnsi"/>
          <w:b w:val="0"/>
          <w:bCs w:val="0"/>
          <w:sz w:val="20"/>
        </w:rPr>
        <w:t>29.11.2019</w:t>
      </w:r>
    </w:p>
    <w:p w:rsidR="006A2F73" w:rsidRPr="00A217F4" w:rsidRDefault="006A2F73" w:rsidP="00BC1378">
      <w:pPr>
        <w:pStyle w:val="Nagwek1"/>
        <w:spacing w:line="276" w:lineRule="auto"/>
        <w:ind w:left="0"/>
        <w:rPr>
          <w:rFonts w:asciiTheme="minorHAnsi" w:hAnsiTheme="minorHAnsi" w:cs="Arial"/>
          <w:b w:val="0"/>
          <w:bCs w:val="0"/>
          <w:sz w:val="22"/>
          <w:szCs w:val="22"/>
        </w:rPr>
      </w:pPr>
      <w:r w:rsidRPr="00A217F4">
        <w:rPr>
          <w:rFonts w:asciiTheme="minorHAnsi" w:hAnsiTheme="minorHAnsi" w:cs="Arial"/>
          <w:b w:val="0"/>
          <w:bCs w:val="0"/>
          <w:sz w:val="20"/>
          <w:szCs w:val="22"/>
        </w:rPr>
        <w:t>Informacja prasowa portalu</w:t>
      </w:r>
    </w:p>
    <w:p w:rsidR="006A2F73" w:rsidRPr="00A217F4" w:rsidRDefault="00884F06" w:rsidP="00BC1378">
      <w:pPr>
        <w:spacing w:line="276" w:lineRule="auto"/>
        <w:rPr>
          <w:rFonts w:asciiTheme="minorHAnsi" w:hAnsiTheme="minorHAnsi" w:cs="Arial"/>
          <w:sz w:val="22"/>
          <w:szCs w:val="22"/>
        </w:rPr>
      </w:pPr>
      <w:r w:rsidRPr="00A217F4">
        <w:rPr>
          <w:rFonts w:asciiTheme="minorHAnsi" w:hAnsiTheme="minorHAnsi"/>
          <w:noProof/>
          <w:lang w:val="en-US"/>
        </w:rPr>
        <w:drawing>
          <wp:inline distT="0" distB="0" distL="0" distR="0">
            <wp:extent cx="1466850" cy="219075"/>
            <wp:effectExtent l="19050" t="0" r="0" b="0"/>
            <wp:docPr id="1" name="Obraz 1" descr="wynagrodzenia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ynagrodzenia_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03DA" w:rsidRPr="00A217F4" w:rsidRDefault="006D03DA" w:rsidP="00BC1378">
      <w:pPr>
        <w:pStyle w:val="Tekstpodstawowy2"/>
        <w:tabs>
          <w:tab w:val="left" w:pos="7560"/>
        </w:tabs>
        <w:spacing w:line="276" w:lineRule="auto"/>
        <w:rPr>
          <w:rFonts w:asciiTheme="minorHAnsi" w:hAnsiTheme="minorHAnsi"/>
          <w:b/>
          <w:bCs/>
        </w:rPr>
      </w:pPr>
      <w:r w:rsidRPr="00A217F4">
        <w:rPr>
          <w:rFonts w:asciiTheme="minorHAnsi" w:hAnsiTheme="minorHAnsi"/>
          <w:b/>
          <w:bCs/>
        </w:rPr>
        <w:t>Pytania i dodatkowe informacje:</w:t>
      </w:r>
    </w:p>
    <w:p w:rsidR="006D03DA" w:rsidRPr="00A217F4" w:rsidRDefault="00E22848" w:rsidP="00BC1378">
      <w:pPr>
        <w:pStyle w:val="Tekstpodstawowy"/>
        <w:tabs>
          <w:tab w:val="left" w:pos="3686"/>
          <w:tab w:val="left" w:pos="7560"/>
        </w:tabs>
        <w:spacing w:line="276" w:lineRule="auto"/>
        <w:jc w:val="right"/>
        <w:rPr>
          <w:rFonts w:asciiTheme="minorHAnsi" w:hAnsiTheme="minorHAnsi" w:cs="Arial"/>
          <w:b w:val="0"/>
          <w:color w:val="000080"/>
          <w:sz w:val="20"/>
        </w:rPr>
      </w:pPr>
      <w:hyperlink r:id="rId9" w:history="1">
        <w:r w:rsidR="006D03DA" w:rsidRPr="00A217F4">
          <w:rPr>
            <w:rStyle w:val="Hipercze"/>
            <w:rFonts w:asciiTheme="minorHAnsi" w:hAnsiTheme="minorHAnsi" w:cs="Arial"/>
            <w:b w:val="0"/>
            <w:sz w:val="20"/>
          </w:rPr>
          <w:t>media@sedlak.pl</w:t>
        </w:r>
      </w:hyperlink>
    </w:p>
    <w:p w:rsidR="00DF67BC" w:rsidRDefault="00DF67BC" w:rsidP="00DF67BC">
      <w:pPr>
        <w:spacing w:after="160" w:line="259" w:lineRule="auto"/>
        <w:jc w:val="center"/>
        <w:rPr>
          <w:rFonts w:ascii="Calibri" w:eastAsia="Calibri" w:hAnsi="Calibri"/>
          <w:b/>
          <w:color w:val="002060"/>
          <w:sz w:val="26"/>
          <w:szCs w:val="26"/>
        </w:rPr>
      </w:pPr>
    </w:p>
    <w:p w:rsidR="00DF67BC" w:rsidRPr="00E22848" w:rsidRDefault="00E22848" w:rsidP="00E22848">
      <w:pPr>
        <w:spacing w:line="276" w:lineRule="auto"/>
        <w:jc w:val="center"/>
        <w:rPr>
          <w:rFonts w:ascii="Calibri" w:eastAsia="Calibri" w:hAnsi="Calibri"/>
          <w:b/>
          <w:caps/>
          <w:color w:val="002060"/>
          <w:sz w:val="32"/>
          <w:szCs w:val="32"/>
        </w:rPr>
      </w:pPr>
      <w:r>
        <w:rPr>
          <w:rFonts w:ascii="Calibri" w:eastAsia="Calibri" w:hAnsi="Calibri"/>
          <w:b/>
          <w:caps/>
          <w:color w:val="002060"/>
          <w:sz w:val="32"/>
          <w:szCs w:val="32"/>
        </w:rPr>
        <w:t xml:space="preserve">Jak zmienią się wynagrodzenia </w:t>
      </w:r>
      <w:r w:rsidRPr="00E22848">
        <w:rPr>
          <w:rFonts w:ascii="Calibri" w:eastAsia="Calibri" w:hAnsi="Calibri"/>
          <w:b/>
          <w:caps/>
          <w:color w:val="002060"/>
          <w:sz w:val="32"/>
          <w:szCs w:val="32"/>
        </w:rPr>
        <w:t>w Polsce w 2020 roku?</w:t>
      </w:r>
    </w:p>
    <w:p w:rsidR="00E22848" w:rsidRPr="00E22848" w:rsidRDefault="00E22848" w:rsidP="00E22848">
      <w:pPr>
        <w:spacing w:line="276" w:lineRule="auto"/>
        <w:jc w:val="both"/>
        <w:rPr>
          <w:rFonts w:ascii="Calibri" w:eastAsia="Calibri" w:hAnsi="Calibri"/>
          <w:sz w:val="32"/>
          <w:szCs w:val="32"/>
        </w:rPr>
      </w:pPr>
      <w:bookmarkStart w:id="0" w:name="_GoBack"/>
      <w:bookmarkEnd w:id="0"/>
    </w:p>
    <w:p w:rsidR="00DF67BC" w:rsidRPr="00DF67BC" w:rsidRDefault="00DF67BC" w:rsidP="00DF67BC">
      <w:pPr>
        <w:spacing w:line="276" w:lineRule="auto"/>
        <w:jc w:val="both"/>
        <w:rPr>
          <w:rFonts w:ascii="Calibri" w:eastAsia="Calibri" w:hAnsi="Calibri"/>
          <w:b/>
          <w:bCs/>
        </w:rPr>
      </w:pPr>
      <w:r w:rsidRPr="00DF67BC">
        <w:rPr>
          <w:rFonts w:ascii="Calibri" w:eastAsia="Calibri" w:hAnsi="Calibri"/>
          <w:b/>
          <w:bCs/>
        </w:rPr>
        <w:t>Koniec roku to czas, w którym osoby zajmujące się kształtowaniem płac w firmach zastanawiają się jakie przyznać podwyżki. Z pomocą przychodzą instytucje, które co roku przygotowują raporty o prognozowanym wzroście wynagrodzeń. Mimo, iż tempo wzrostu PKB w Polsce w 2020 roku ma spowolnić, to przewidywany wzrost płac będzie jednym z najwyższych w całej Unii Europejskiej.</w:t>
      </w:r>
    </w:p>
    <w:p w:rsidR="00DF67BC" w:rsidRPr="00DF67BC" w:rsidRDefault="00DF67BC" w:rsidP="00DF67BC">
      <w:pPr>
        <w:spacing w:line="276" w:lineRule="auto"/>
        <w:jc w:val="both"/>
        <w:rPr>
          <w:rFonts w:ascii="Calibri" w:eastAsia="Calibri" w:hAnsi="Calibri"/>
          <w:b/>
          <w:bCs/>
        </w:rPr>
      </w:pPr>
    </w:p>
    <w:p w:rsidR="00DF67BC" w:rsidRPr="00DF67BC" w:rsidRDefault="00DF67BC" w:rsidP="00DF67BC">
      <w:pPr>
        <w:spacing w:line="276" w:lineRule="auto"/>
        <w:jc w:val="both"/>
        <w:rPr>
          <w:rFonts w:ascii="Calibri" w:eastAsia="Calibri" w:hAnsi="Calibri"/>
        </w:rPr>
      </w:pPr>
      <w:r w:rsidRPr="00DF67BC">
        <w:rPr>
          <w:rFonts w:ascii="Calibri" w:eastAsia="Calibri" w:hAnsi="Calibri"/>
        </w:rPr>
        <w:t>Dynamika wynagrodzeń zależy od wielu czynników. Wpływ na nią ma również sytuacja gospodarcza w poszczególnych krajach. Omawiając prognozy wynagrodzeń na 2020 rok, warto więc przedstawić projekcje innych wskaźników gospodarczych. Z punktu widzenia wynagrodzeń ważnymi wskaźnikami są: PKB, inflacja, produktywność pracy oraz bezrobocie. Prognozy wskaźników makroekonomicznych na kolejny rok, mimo obaw wielu ekonomistów, są wciąż optymistyczne.</w:t>
      </w:r>
    </w:p>
    <w:p w:rsidR="00DF67BC" w:rsidRPr="00DF67BC" w:rsidRDefault="00DF67BC" w:rsidP="00DF67BC">
      <w:pPr>
        <w:spacing w:line="276" w:lineRule="auto"/>
        <w:jc w:val="both"/>
        <w:rPr>
          <w:rFonts w:ascii="Calibri" w:eastAsia="Calibri" w:hAnsi="Calibri"/>
        </w:rPr>
      </w:pPr>
    </w:p>
    <w:p w:rsidR="00DF67BC" w:rsidRPr="00DF67BC" w:rsidRDefault="00DF67BC" w:rsidP="00DF67BC">
      <w:pPr>
        <w:spacing w:line="276" w:lineRule="auto"/>
        <w:rPr>
          <w:rFonts w:ascii="Calibri" w:eastAsia="Calibri" w:hAnsi="Calibri"/>
          <w:b/>
          <w:color w:val="002060"/>
        </w:rPr>
      </w:pPr>
      <w:r w:rsidRPr="00DF67BC">
        <w:rPr>
          <w:rFonts w:ascii="Calibri" w:eastAsia="Calibri" w:hAnsi="Calibri"/>
          <w:b/>
          <w:color w:val="002060"/>
        </w:rPr>
        <w:t>Prognozy gospodarcze dla Unii Europejskiej</w:t>
      </w:r>
    </w:p>
    <w:p w:rsidR="00DF67BC" w:rsidRPr="00DF67BC" w:rsidRDefault="00DF67BC" w:rsidP="00DF67BC">
      <w:pPr>
        <w:spacing w:line="276" w:lineRule="auto"/>
        <w:jc w:val="both"/>
        <w:rPr>
          <w:rFonts w:ascii="Calibri" w:eastAsia="Calibri" w:hAnsi="Calibri"/>
        </w:rPr>
      </w:pPr>
      <w:r w:rsidRPr="00DF67BC">
        <w:rPr>
          <w:rFonts w:ascii="Calibri" w:eastAsia="Calibri" w:hAnsi="Calibri"/>
        </w:rPr>
        <w:t xml:space="preserve">Według prognoz Komisji Europejskiej stopa bezrobocia BAEL w całej wspólnocie będzie spadać: w 2019 roku została oszacowana na 6,8%, natomiast w 2020 roku przewiduje się poziom 6,7%. Najniższa stopa bezrobocia ma wystąpić w Czechach (2,2%), Niemczech (3,4%) i na Węgrzech (3,4%). W Polsce wskaźnik ten wyniesie 3,6%.  </w:t>
      </w:r>
    </w:p>
    <w:p w:rsidR="00DF67BC" w:rsidRPr="00DF67BC" w:rsidRDefault="00DF67BC" w:rsidP="00DF67BC">
      <w:pPr>
        <w:spacing w:line="276" w:lineRule="auto"/>
        <w:jc w:val="both"/>
        <w:rPr>
          <w:rFonts w:ascii="Calibri" w:eastAsia="Calibri" w:hAnsi="Calibri"/>
        </w:rPr>
      </w:pPr>
    </w:p>
    <w:p w:rsidR="00DF67BC" w:rsidRPr="00DF67BC" w:rsidRDefault="00DF67BC" w:rsidP="00DF67BC">
      <w:pPr>
        <w:spacing w:line="276" w:lineRule="auto"/>
        <w:jc w:val="both"/>
        <w:rPr>
          <w:rFonts w:ascii="Calibri" w:eastAsia="Calibri" w:hAnsi="Calibri"/>
        </w:rPr>
      </w:pPr>
      <w:r w:rsidRPr="00DF67BC">
        <w:rPr>
          <w:rFonts w:ascii="Calibri" w:eastAsia="Calibri" w:hAnsi="Calibri"/>
        </w:rPr>
        <w:t>Najnowsze prognozy Komisji Europejskiej pokazują, że dynamika PKB w Polsce wyniesie w 2019 i 2020 odpowiednio 4,1% i 3,3%. W całej Unii wzrost ma być znacznie niższy niż nad Wisłą. Analitycy z Brukseli spodziewają się, że dynamika PKB w całej UE wyniesie 1,4%.</w:t>
      </w:r>
    </w:p>
    <w:p w:rsidR="00DF67BC" w:rsidRPr="00DF67BC" w:rsidRDefault="00DF67BC" w:rsidP="00DF67BC">
      <w:pPr>
        <w:spacing w:line="276" w:lineRule="auto"/>
        <w:jc w:val="both"/>
        <w:rPr>
          <w:rFonts w:ascii="Calibri" w:eastAsia="Calibri" w:hAnsi="Calibri"/>
        </w:rPr>
      </w:pPr>
      <w:r w:rsidRPr="00DF67BC">
        <w:rPr>
          <w:rFonts w:ascii="Calibri" w:eastAsia="Calibri" w:hAnsi="Calibri"/>
        </w:rPr>
        <w:t xml:space="preserve">  </w:t>
      </w:r>
    </w:p>
    <w:p w:rsidR="00DF67BC" w:rsidRDefault="00DF67BC" w:rsidP="00DF67BC">
      <w:pPr>
        <w:spacing w:line="276" w:lineRule="auto"/>
        <w:jc w:val="both"/>
        <w:rPr>
          <w:rFonts w:ascii="Calibri" w:eastAsia="Calibri" w:hAnsi="Calibri"/>
        </w:rPr>
      </w:pPr>
      <w:r w:rsidRPr="00DF67BC">
        <w:rPr>
          <w:rFonts w:ascii="Calibri" w:eastAsia="Calibri" w:hAnsi="Calibri"/>
        </w:rPr>
        <w:t>Chociaż rozpędzona polska gospodarka ma znacznie zwolnić w 2020 roku, to mimo wszystko znajdzie się w czołówce pod względem dynamiki PKB. Szybciej mają rosnąć jedynie gospodarki Malty (4,2%), Rumunii (3,6%) oraz Irlandii (3,5%).  W 2019 i 2020 roku wzrost PKB wystąpi we wszystkich unijnych państwach.</w:t>
      </w:r>
    </w:p>
    <w:p w:rsidR="00B5483C" w:rsidRPr="00DF67BC" w:rsidRDefault="00B5483C" w:rsidP="00DF67BC">
      <w:pPr>
        <w:spacing w:line="276" w:lineRule="auto"/>
        <w:jc w:val="both"/>
        <w:rPr>
          <w:rFonts w:ascii="Calibri" w:eastAsia="Calibri" w:hAnsi="Calibri"/>
        </w:rPr>
      </w:pPr>
    </w:p>
    <w:p w:rsidR="00DF67BC" w:rsidRPr="00DF67BC" w:rsidRDefault="00DF67BC" w:rsidP="00DF67BC">
      <w:pPr>
        <w:spacing w:line="276" w:lineRule="auto"/>
        <w:jc w:val="both"/>
        <w:rPr>
          <w:rFonts w:ascii="Calibri" w:eastAsia="Calibri" w:hAnsi="Calibri"/>
        </w:rPr>
      </w:pPr>
    </w:p>
    <w:p w:rsidR="00DF67BC" w:rsidRPr="00DF67BC" w:rsidRDefault="00DF67BC" w:rsidP="00DF67BC">
      <w:pPr>
        <w:spacing w:line="276" w:lineRule="auto"/>
        <w:jc w:val="center"/>
        <w:rPr>
          <w:rFonts w:ascii="Calibri" w:eastAsia="Calibri" w:hAnsi="Calibri"/>
          <w:b/>
          <w:color w:val="002060"/>
          <w:szCs w:val="22"/>
        </w:rPr>
      </w:pPr>
      <w:r w:rsidRPr="00DF67BC">
        <w:rPr>
          <w:rFonts w:ascii="Calibri" w:eastAsia="Calibri" w:hAnsi="Calibri"/>
          <w:b/>
          <w:color w:val="002060"/>
          <w:szCs w:val="22"/>
        </w:rPr>
        <w:t>Wykres 1. Prognozowana dynamika PKB </w:t>
      </w:r>
    </w:p>
    <w:p w:rsidR="00DF67BC" w:rsidRPr="00DF67BC" w:rsidRDefault="00DF67BC" w:rsidP="00DF67BC">
      <w:pPr>
        <w:spacing w:line="276" w:lineRule="auto"/>
        <w:jc w:val="center"/>
        <w:rPr>
          <w:rFonts w:ascii="Calibri" w:eastAsia="Calibri" w:hAnsi="Calibri"/>
          <w:b/>
          <w:color w:val="002060"/>
          <w:szCs w:val="22"/>
        </w:rPr>
      </w:pPr>
      <w:r w:rsidRPr="00DF67BC">
        <w:rPr>
          <w:rFonts w:ascii="Calibri" w:eastAsia="Calibri" w:hAnsi="Calibri"/>
          <w:b/>
          <w:color w:val="002060"/>
          <w:szCs w:val="22"/>
        </w:rPr>
        <w:lastRenderedPageBreak/>
        <w:t>w poszczególnych krajach Unii Europejskiej w 2019 i 2020 roku (w %)</w:t>
      </w:r>
    </w:p>
    <w:p w:rsidR="00DF67BC" w:rsidRPr="00DF67BC" w:rsidRDefault="00DF67BC" w:rsidP="00DF67BC">
      <w:pPr>
        <w:spacing w:after="160" w:line="259" w:lineRule="auto"/>
        <w:rPr>
          <w:rFonts w:ascii="Calibri" w:eastAsia="Calibri" w:hAnsi="Calibri"/>
          <w:color w:val="0563C1"/>
          <w:sz w:val="22"/>
          <w:szCs w:val="22"/>
        </w:rPr>
      </w:pPr>
      <w:r w:rsidRPr="00DF67BC">
        <w:rPr>
          <w:rFonts w:ascii="Calibri" w:eastAsia="Calibri" w:hAnsi="Calibri"/>
          <w:noProof/>
          <w:color w:val="0563C1"/>
          <w:sz w:val="22"/>
          <w:szCs w:val="22"/>
          <w:lang w:val="en-US"/>
        </w:rPr>
        <w:drawing>
          <wp:inline distT="0" distB="0" distL="0" distR="0" wp14:anchorId="7D11ED4A" wp14:editId="33C9333C">
            <wp:extent cx="6248400" cy="7372350"/>
            <wp:effectExtent l="0" t="0" r="0" b="0"/>
            <wp:docPr id="10" name="Wykres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DF67BC" w:rsidRPr="00B5483C" w:rsidRDefault="00DF67BC" w:rsidP="00B5483C">
      <w:pPr>
        <w:spacing w:line="259" w:lineRule="auto"/>
        <w:jc w:val="center"/>
        <w:rPr>
          <w:rFonts w:ascii="&amp;quot" w:hAnsi="&amp;quot"/>
          <w:color w:val="525252"/>
          <w:sz w:val="18"/>
          <w:szCs w:val="18"/>
          <w:lang w:eastAsia="pl-PL"/>
        </w:rPr>
      </w:pPr>
      <w:r w:rsidRPr="00DF67BC">
        <w:rPr>
          <w:rFonts w:ascii="Calibri" w:eastAsia="Calibri" w:hAnsi="Calibri"/>
          <w:i/>
          <w:sz w:val="20"/>
          <w:szCs w:val="22"/>
        </w:rPr>
        <w:t>Opracowanie Sedlak &amp; Sedlak na podstawie prognoz Komisji Europejskiej</w:t>
      </w:r>
    </w:p>
    <w:p w:rsidR="00DF67BC" w:rsidRPr="00DF67BC" w:rsidRDefault="00DF67BC" w:rsidP="00DF67BC">
      <w:pPr>
        <w:spacing w:line="276" w:lineRule="auto"/>
        <w:rPr>
          <w:rFonts w:ascii="Calibri" w:eastAsia="Calibri" w:hAnsi="Calibri"/>
          <w:b/>
          <w:color w:val="002060"/>
        </w:rPr>
      </w:pPr>
      <w:r w:rsidRPr="00DF67BC">
        <w:rPr>
          <w:rFonts w:ascii="Calibri" w:eastAsia="Calibri" w:hAnsi="Calibri"/>
          <w:b/>
          <w:color w:val="002060"/>
        </w:rPr>
        <w:t>Dynamika wynagrodzeń</w:t>
      </w:r>
    </w:p>
    <w:p w:rsidR="00DF67BC" w:rsidRDefault="00DF67BC" w:rsidP="00B5483C">
      <w:pPr>
        <w:spacing w:line="276" w:lineRule="auto"/>
        <w:jc w:val="both"/>
        <w:rPr>
          <w:rFonts w:ascii="Calibri" w:eastAsia="Calibri" w:hAnsi="Calibri"/>
        </w:rPr>
      </w:pPr>
      <w:r w:rsidRPr="00DF67BC">
        <w:rPr>
          <w:rFonts w:ascii="Calibri" w:eastAsia="Calibri" w:hAnsi="Calibri"/>
        </w:rPr>
        <w:t>Według prognoz Komisji Europejskiej najwyższy wzrost wynagrodzeń w ujęciu nominalnym wystąpi w Rumunii. Jednak biorąc pod uwagę prognozowaną inflację, krajem o najwyższym wzroście płac w ujęciu realnym będzie Polska. Warto zaznaczyć, że w żadnym z krajów inflacja nie „skonsumuje” nominalnego wzrostu wynagrodzeń.</w:t>
      </w:r>
    </w:p>
    <w:p w:rsidR="00B5483C" w:rsidRPr="00B5483C" w:rsidRDefault="00B5483C" w:rsidP="00B5483C">
      <w:pPr>
        <w:spacing w:line="276" w:lineRule="auto"/>
        <w:jc w:val="both"/>
        <w:rPr>
          <w:rFonts w:ascii="Calibri" w:eastAsia="Calibri" w:hAnsi="Calibri"/>
        </w:rPr>
      </w:pPr>
    </w:p>
    <w:p w:rsidR="00DF67BC" w:rsidRPr="00DF67BC" w:rsidRDefault="00DF67BC" w:rsidP="00DF67BC">
      <w:pPr>
        <w:spacing w:line="276" w:lineRule="auto"/>
        <w:jc w:val="center"/>
        <w:rPr>
          <w:rFonts w:ascii="Calibri" w:eastAsia="Calibri" w:hAnsi="Calibri"/>
          <w:b/>
          <w:color w:val="002060"/>
          <w:szCs w:val="22"/>
        </w:rPr>
      </w:pPr>
      <w:r w:rsidRPr="00DF67BC">
        <w:rPr>
          <w:rFonts w:ascii="Calibri" w:eastAsia="Calibri" w:hAnsi="Calibri"/>
          <w:b/>
          <w:color w:val="002060"/>
          <w:szCs w:val="22"/>
        </w:rPr>
        <w:t>Wykres 2. Prognozowany wzrost wynagrodzeń nominalnych i realnych</w:t>
      </w:r>
      <w:r w:rsidRPr="00DF67BC">
        <w:rPr>
          <w:rFonts w:ascii="Calibri" w:eastAsia="Calibri" w:hAnsi="Calibri"/>
          <w:b/>
          <w:color w:val="002060"/>
          <w:szCs w:val="22"/>
        </w:rPr>
        <w:br/>
        <w:t>w wybranych krajach Unii Europejskiej w 2020 roku (w %)</w:t>
      </w:r>
    </w:p>
    <w:p w:rsidR="00DF67BC" w:rsidRPr="00DF67BC" w:rsidRDefault="00DF67BC" w:rsidP="00DF67BC">
      <w:pPr>
        <w:spacing w:after="160" w:line="259" w:lineRule="auto"/>
        <w:rPr>
          <w:rFonts w:ascii="Calibri" w:eastAsia="Calibri" w:hAnsi="Calibri"/>
          <w:sz w:val="22"/>
          <w:szCs w:val="22"/>
        </w:rPr>
      </w:pPr>
      <w:r w:rsidRPr="00DF67BC">
        <w:rPr>
          <w:rFonts w:ascii="Calibri" w:eastAsia="Calibri" w:hAnsi="Calibri"/>
          <w:noProof/>
          <w:sz w:val="22"/>
          <w:szCs w:val="22"/>
          <w:lang w:val="en-US"/>
        </w:rPr>
        <w:drawing>
          <wp:inline distT="0" distB="0" distL="0" distR="0" wp14:anchorId="48BF484F" wp14:editId="6D45CB6C">
            <wp:extent cx="6286500" cy="5543550"/>
            <wp:effectExtent l="0" t="0" r="0" b="0"/>
            <wp:docPr id="11" name="Wykres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DF67BC" w:rsidRPr="00DF67BC" w:rsidRDefault="00DF67BC" w:rsidP="00DF67BC">
      <w:pPr>
        <w:spacing w:line="259" w:lineRule="auto"/>
        <w:jc w:val="center"/>
        <w:rPr>
          <w:rFonts w:ascii="Calibri" w:eastAsia="Calibri" w:hAnsi="Calibri"/>
          <w:i/>
          <w:sz w:val="20"/>
          <w:szCs w:val="22"/>
        </w:rPr>
      </w:pPr>
      <w:r w:rsidRPr="00DF67BC">
        <w:rPr>
          <w:rFonts w:ascii="Calibri" w:eastAsia="Calibri" w:hAnsi="Calibri"/>
          <w:i/>
          <w:sz w:val="20"/>
          <w:szCs w:val="22"/>
        </w:rPr>
        <w:lastRenderedPageBreak/>
        <w:t>*w prognozach Komisji Europejskiej uwzględniono wszystkie koszty związane z wynagrodzeniem,</w:t>
      </w:r>
      <w:r w:rsidRPr="00DF67BC">
        <w:rPr>
          <w:rFonts w:ascii="Calibri" w:eastAsia="Calibri" w:hAnsi="Calibri"/>
          <w:i/>
          <w:sz w:val="20"/>
          <w:szCs w:val="22"/>
        </w:rPr>
        <w:br/>
        <w:t>a więc zarówno wynagrodzenie wypłacane pracownikom</w:t>
      </w:r>
      <w:r w:rsidRPr="00DF67BC">
        <w:rPr>
          <w:rFonts w:ascii="Calibri" w:eastAsia="Calibri" w:hAnsi="Calibri"/>
          <w:i/>
          <w:sz w:val="20"/>
          <w:szCs w:val="22"/>
        </w:rPr>
        <w:br/>
        <w:t>jak i składki na ubezpieczenie społeczne płacone przez pracodawców.</w:t>
      </w:r>
    </w:p>
    <w:p w:rsidR="00DF67BC" w:rsidRPr="00DF67BC" w:rsidRDefault="00DF67BC" w:rsidP="00DF67BC">
      <w:pPr>
        <w:spacing w:line="259" w:lineRule="auto"/>
        <w:jc w:val="center"/>
        <w:rPr>
          <w:rFonts w:ascii="Calibri" w:eastAsia="Calibri" w:hAnsi="Calibri"/>
          <w:i/>
          <w:sz w:val="20"/>
          <w:szCs w:val="22"/>
        </w:rPr>
      </w:pPr>
    </w:p>
    <w:p w:rsidR="00DF67BC" w:rsidRPr="00DF67BC" w:rsidRDefault="00DF67BC" w:rsidP="00DF67BC">
      <w:pPr>
        <w:spacing w:line="259" w:lineRule="auto"/>
        <w:jc w:val="center"/>
        <w:rPr>
          <w:rFonts w:ascii="&amp;quot" w:hAnsi="&amp;quot"/>
          <w:color w:val="525252"/>
          <w:sz w:val="18"/>
          <w:szCs w:val="18"/>
          <w:lang w:eastAsia="pl-PL"/>
        </w:rPr>
      </w:pPr>
      <w:r w:rsidRPr="00DF67BC">
        <w:rPr>
          <w:rFonts w:ascii="Calibri" w:eastAsia="Calibri" w:hAnsi="Calibri"/>
          <w:i/>
          <w:sz w:val="20"/>
          <w:szCs w:val="22"/>
        </w:rPr>
        <w:t>Opracowanie Sedlak &amp; Sedlak na podstawie prognoz Komisji Europejskiej</w:t>
      </w:r>
    </w:p>
    <w:p w:rsidR="00DF67BC" w:rsidRPr="00DF67BC" w:rsidRDefault="00DF67BC" w:rsidP="00DF67BC">
      <w:pPr>
        <w:spacing w:line="276" w:lineRule="auto"/>
        <w:jc w:val="both"/>
        <w:rPr>
          <w:rFonts w:ascii="Calibri" w:eastAsia="Calibri" w:hAnsi="Calibri"/>
        </w:rPr>
      </w:pPr>
    </w:p>
    <w:p w:rsidR="00DF67BC" w:rsidRPr="00DF67BC" w:rsidRDefault="00DF67BC" w:rsidP="00DF67BC">
      <w:pPr>
        <w:spacing w:line="276" w:lineRule="auto"/>
        <w:rPr>
          <w:rFonts w:ascii="Calibri" w:eastAsia="Calibri" w:hAnsi="Calibri"/>
          <w:b/>
          <w:color w:val="002060"/>
        </w:rPr>
      </w:pPr>
    </w:p>
    <w:p w:rsidR="00DF67BC" w:rsidRPr="00DF67BC" w:rsidRDefault="00DF67BC" w:rsidP="00DF67BC">
      <w:pPr>
        <w:spacing w:line="276" w:lineRule="auto"/>
        <w:rPr>
          <w:rFonts w:ascii="Calibri" w:eastAsia="Calibri" w:hAnsi="Calibri"/>
          <w:b/>
          <w:color w:val="002060"/>
        </w:rPr>
      </w:pPr>
      <w:r w:rsidRPr="00DF67BC">
        <w:rPr>
          <w:rFonts w:ascii="Calibri" w:eastAsia="Calibri" w:hAnsi="Calibri"/>
          <w:b/>
          <w:color w:val="002060"/>
        </w:rPr>
        <w:t>Wynagrodzenia a produktywność pracy</w:t>
      </w:r>
    </w:p>
    <w:p w:rsidR="00DF67BC" w:rsidRDefault="00DF67BC" w:rsidP="00DF67BC">
      <w:pPr>
        <w:spacing w:line="276" w:lineRule="auto"/>
        <w:jc w:val="both"/>
        <w:rPr>
          <w:rFonts w:ascii="Calibri" w:eastAsia="Calibri" w:hAnsi="Calibri"/>
        </w:rPr>
      </w:pPr>
      <w:r w:rsidRPr="00DF67BC">
        <w:rPr>
          <w:rFonts w:ascii="Calibri" w:eastAsia="Calibri" w:hAnsi="Calibri"/>
        </w:rPr>
        <w:t xml:space="preserve">Z ekonomicznego punktu widzenia wskaźniki dynamiki wzrostu wynagrodzeń i produktywności pracy powinny przyjmować wartości porównywalne. Według projekcji na 2020 rok w większości krajów Unii Europejskiej wydajność pracy będzie niższa niż wzrost wynagrodzeń w ujęciu realnym. </w:t>
      </w:r>
    </w:p>
    <w:p w:rsidR="00B5483C" w:rsidRDefault="00B5483C" w:rsidP="00DF67BC">
      <w:pPr>
        <w:spacing w:line="276" w:lineRule="auto"/>
        <w:jc w:val="both"/>
        <w:rPr>
          <w:rFonts w:ascii="Calibri" w:eastAsia="Calibri" w:hAnsi="Calibri"/>
        </w:rPr>
      </w:pPr>
    </w:p>
    <w:p w:rsidR="00B5483C" w:rsidRDefault="00B5483C" w:rsidP="00DF67BC">
      <w:pPr>
        <w:spacing w:line="276" w:lineRule="auto"/>
        <w:jc w:val="both"/>
        <w:rPr>
          <w:rFonts w:ascii="Calibri" w:eastAsia="Calibri" w:hAnsi="Calibri"/>
        </w:rPr>
      </w:pPr>
    </w:p>
    <w:p w:rsidR="00B5483C" w:rsidRDefault="00B5483C" w:rsidP="00DF67BC">
      <w:pPr>
        <w:spacing w:line="276" w:lineRule="auto"/>
        <w:jc w:val="both"/>
        <w:rPr>
          <w:rFonts w:ascii="Calibri" w:eastAsia="Calibri" w:hAnsi="Calibri"/>
        </w:rPr>
      </w:pPr>
    </w:p>
    <w:p w:rsidR="00B5483C" w:rsidRDefault="00B5483C" w:rsidP="00DF67BC">
      <w:pPr>
        <w:spacing w:line="276" w:lineRule="auto"/>
        <w:jc w:val="both"/>
        <w:rPr>
          <w:rFonts w:ascii="Calibri" w:eastAsia="Calibri" w:hAnsi="Calibri"/>
        </w:rPr>
      </w:pPr>
    </w:p>
    <w:p w:rsidR="00B5483C" w:rsidRDefault="00B5483C" w:rsidP="00DF67BC">
      <w:pPr>
        <w:spacing w:line="276" w:lineRule="auto"/>
        <w:jc w:val="both"/>
        <w:rPr>
          <w:rFonts w:ascii="Calibri" w:eastAsia="Calibri" w:hAnsi="Calibri"/>
        </w:rPr>
      </w:pPr>
    </w:p>
    <w:p w:rsidR="00B5483C" w:rsidRDefault="00B5483C" w:rsidP="00DF67BC">
      <w:pPr>
        <w:spacing w:line="276" w:lineRule="auto"/>
        <w:jc w:val="both"/>
        <w:rPr>
          <w:rFonts w:ascii="Calibri" w:eastAsia="Calibri" w:hAnsi="Calibri"/>
        </w:rPr>
      </w:pPr>
    </w:p>
    <w:p w:rsidR="00B5483C" w:rsidRDefault="00B5483C" w:rsidP="00DF67BC">
      <w:pPr>
        <w:spacing w:line="276" w:lineRule="auto"/>
        <w:jc w:val="both"/>
        <w:rPr>
          <w:rFonts w:ascii="Calibri" w:eastAsia="Calibri" w:hAnsi="Calibri"/>
        </w:rPr>
      </w:pPr>
    </w:p>
    <w:p w:rsidR="00B5483C" w:rsidRDefault="00B5483C" w:rsidP="00DF67BC">
      <w:pPr>
        <w:spacing w:line="276" w:lineRule="auto"/>
        <w:jc w:val="both"/>
        <w:rPr>
          <w:rFonts w:ascii="Calibri" w:eastAsia="Calibri" w:hAnsi="Calibri"/>
        </w:rPr>
      </w:pPr>
    </w:p>
    <w:p w:rsidR="00B5483C" w:rsidRDefault="00B5483C" w:rsidP="00DF67BC">
      <w:pPr>
        <w:spacing w:line="276" w:lineRule="auto"/>
        <w:jc w:val="both"/>
        <w:rPr>
          <w:rFonts w:ascii="Calibri" w:eastAsia="Calibri" w:hAnsi="Calibri"/>
        </w:rPr>
      </w:pPr>
    </w:p>
    <w:p w:rsidR="00B5483C" w:rsidRDefault="00B5483C" w:rsidP="00DF67BC">
      <w:pPr>
        <w:spacing w:line="276" w:lineRule="auto"/>
        <w:jc w:val="both"/>
        <w:rPr>
          <w:rFonts w:ascii="Calibri" w:eastAsia="Calibri" w:hAnsi="Calibri"/>
        </w:rPr>
      </w:pPr>
    </w:p>
    <w:p w:rsidR="00B5483C" w:rsidRDefault="00B5483C" w:rsidP="00DF67BC">
      <w:pPr>
        <w:spacing w:line="276" w:lineRule="auto"/>
        <w:jc w:val="both"/>
        <w:rPr>
          <w:rFonts w:ascii="Calibri" w:eastAsia="Calibri" w:hAnsi="Calibri"/>
        </w:rPr>
      </w:pPr>
    </w:p>
    <w:p w:rsidR="00B5483C" w:rsidRDefault="00B5483C" w:rsidP="00DF67BC">
      <w:pPr>
        <w:spacing w:line="276" w:lineRule="auto"/>
        <w:jc w:val="both"/>
        <w:rPr>
          <w:rFonts w:ascii="Calibri" w:eastAsia="Calibri" w:hAnsi="Calibri"/>
        </w:rPr>
      </w:pPr>
    </w:p>
    <w:p w:rsidR="00B5483C" w:rsidRDefault="00B5483C" w:rsidP="00DF67BC">
      <w:pPr>
        <w:spacing w:line="276" w:lineRule="auto"/>
        <w:jc w:val="both"/>
        <w:rPr>
          <w:rFonts w:ascii="Calibri" w:eastAsia="Calibri" w:hAnsi="Calibri"/>
        </w:rPr>
      </w:pPr>
    </w:p>
    <w:p w:rsidR="00B5483C" w:rsidRDefault="00B5483C" w:rsidP="00DF67BC">
      <w:pPr>
        <w:spacing w:line="276" w:lineRule="auto"/>
        <w:jc w:val="both"/>
        <w:rPr>
          <w:rFonts w:ascii="Calibri" w:eastAsia="Calibri" w:hAnsi="Calibri"/>
        </w:rPr>
      </w:pPr>
    </w:p>
    <w:p w:rsidR="00B5483C" w:rsidRDefault="00B5483C" w:rsidP="00DF67BC">
      <w:pPr>
        <w:spacing w:line="276" w:lineRule="auto"/>
        <w:jc w:val="both"/>
        <w:rPr>
          <w:rFonts w:ascii="Calibri" w:eastAsia="Calibri" w:hAnsi="Calibri"/>
        </w:rPr>
      </w:pPr>
    </w:p>
    <w:p w:rsidR="00B5483C" w:rsidRDefault="00B5483C" w:rsidP="00DF67BC">
      <w:pPr>
        <w:spacing w:line="276" w:lineRule="auto"/>
        <w:jc w:val="both"/>
        <w:rPr>
          <w:rFonts w:ascii="Calibri" w:eastAsia="Calibri" w:hAnsi="Calibri"/>
        </w:rPr>
      </w:pPr>
    </w:p>
    <w:p w:rsidR="00B5483C" w:rsidRDefault="00B5483C" w:rsidP="00DF67BC">
      <w:pPr>
        <w:spacing w:line="276" w:lineRule="auto"/>
        <w:jc w:val="both"/>
        <w:rPr>
          <w:rFonts w:ascii="Calibri" w:eastAsia="Calibri" w:hAnsi="Calibri"/>
        </w:rPr>
      </w:pPr>
    </w:p>
    <w:p w:rsidR="00B5483C" w:rsidRDefault="00B5483C" w:rsidP="00DF67BC">
      <w:pPr>
        <w:spacing w:line="276" w:lineRule="auto"/>
        <w:jc w:val="both"/>
        <w:rPr>
          <w:rFonts w:ascii="Calibri" w:eastAsia="Calibri" w:hAnsi="Calibri"/>
        </w:rPr>
      </w:pPr>
    </w:p>
    <w:p w:rsidR="00B5483C" w:rsidRDefault="00B5483C" w:rsidP="00DF67BC">
      <w:pPr>
        <w:spacing w:line="276" w:lineRule="auto"/>
        <w:jc w:val="both"/>
        <w:rPr>
          <w:rFonts w:ascii="Calibri" w:eastAsia="Calibri" w:hAnsi="Calibri"/>
        </w:rPr>
      </w:pPr>
    </w:p>
    <w:p w:rsidR="00B5483C" w:rsidRDefault="00B5483C" w:rsidP="00DF67BC">
      <w:pPr>
        <w:spacing w:line="276" w:lineRule="auto"/>
        <w:jc w:val="both"/>
        <w:rPr>
          <w:rFonts w:ascii="Calibri" w:eastAsia="Calibri" w:hAnsi="Calibri"/>
        </w:rPr>
      </w:pPr>
    </w:p>
    <w:p w:rsidR="00B5483C" w:rsidRDefault="00B5483C" w:rsidP="00DF67BC">
      <w:pPr>
        <w:spacing w:line="276" w:lineRule="auto"/>
        <w:jc w:val="both"/>
        <w:rPr>
          <w:rFonts w:ascii="Calibri" w:eastAsia="Calibri" w:hAnsi="Calibri"/>
        </w:rPr>
      </w:pPr>
    </w:p>
    <w:p w:rsidR="00B5483C" w:rsidRDefault="00B5483C" w:rsidP="00DF67BC">
      <w:pPr>
        <w:spacing w:line="276" w:lineRule="auto"/>
        <w:jc w:val="both"/>
        <w:rPr>
          <w:rFonts w:ascii="Calibri" w:eastAsia="Calibri" w:hAnsi="Calibri"/>
        </w:rPr>
      </w:pPr>
    </w:p>
    <w:p w:rsidR="00B5483C" w:rsidRDefault="00B5483C" w:rsidP="00DF67BC">
      <w:pPr>
        <w:spacing w:line="276" w:lineRule="auto"/>
        <w:jc w:val="both"/>
        <w:rPr>
          <w:rFonts w:ascii="Calibri" w:eastAsia="Calibri" w:hAnsi="Calibri"/>
        </w:rPr>
      </w:pPr>
    </w:p>
    <w:p w:rsidR="00B5483C" w:rsidRDefault="00B5483C" w:rsidP="00DF67BC">
      <w:pPr>
        <w:spacing w:line="276" w:lineRule="auto"/>
        <w:jc w:val="both"/>
        <w:rPr>
          <w:rFonts w:ascii="Calibri" w:eastAsia="Calibri" w:hAnsi="Calibri"/>
        </w:rPr>
      </w:pPr>
    </w:p>
    <w:p w:rsidR="00B5483C" w:rsidRDefault="00B5483C" w:rsidP="00DF67BC">
      <w:pPr>
        <w:spacing w:line="276" w:lineRule="auto"/>
        <w:jc w:val="both"/>
        <w:rPr>
          <w:rFonts w:ascii="Calibri" w:eastAsia="Calibri" w:hAnsi="Calibri"/>
        </w:rPr>
      </w:pPr>
    </w:p>
    <w:p w:rsidR="00B5483C" w:rsidRDefault="00B5483C" w:rsidP="00DF67BC">
      <w:pPr>
        <w:spacing w:line="276" w:lineRule="auto"/>
        <w:jc w:val="both"/>
        <w:rPr>
          <w:rFonts w:ascii="Calibri" w:eastAsia="Calibri" w:hAnsi="Calibri"/>
        </w:rPr>
      </w:pPr>
    </w:p>
    <w:p w:rsidR="00B5483C" w:rsidRDefault="00B5483C" w:rsidP="00DF67BC">
      <w:pPr>
        <w:spacing w:line="276" w:lineRule="auto"/>
        <w:jc w:val="both"/>
        <w:rPr>
          <w:rFonts w:ascii="Calibri" w:eastAsia="Calibri" w:hAnsi="Calibri"/>
        </w:rPr>
      </w:pPr>
    </w:p>
    <w:p w:rsidR="00B5483C" w:rsidRDefault="00B5483C" w:rsidP="00DF67BC">
      <w:pPr>
        <w:spacing w:line="276" w:lineRule="auto"/>
        <w:jc w:val="both"/>
        <w:rPr>
          <w:rFonts w:ascii="Calibri" w:eastAsia="Calibri" w:hAnsi="Calibri"/>
        </w:rPr>
      </w:pPr>
    </w:p>
    <w:p w:rsidR="00B5483C" w:rsidRDefault="00B5483C" w:rsidP="00DF67BC">
      <w:pPr>
        <w:spacing w:line="276" w:lineRule="auto"/>
        <w:jc w:val="both"/>
        <w:rPr>
          <w:rFonts w:ascii="Calibri" w:eastAsia="Calibri" w:hAnsi="Calibri"/>
        </w:rPr>
      </w:pPr>
    </w:p>
    <w:p w:rsidR="00DF67BC" w:rsidRPr="00DF67BC" w:rsidRDefault="00DF67BC" w:rsidP="00DF67BC">
      <w:pPr>
        <w:spacing w:line="276" w:lineRule="auto"/>
        <w:jc w:val="both"/>
        <w:rPr>
          <w:rFonts w:ascii="Calibri" w:eastAsia="Calibri" w:hAnsi="Calibri"/>
        </w:rPr>
      </w:pPr>
    </w:p>
    <w:p w:rsidR="00DF67BC" w:rsidRPr="00DF67BC" w:rsidRDefault="00DF67BC" w:rsidP="00DF67BC">
      <w:pPr>
        <w:spacing w:line="276" w:lineRule="auto"/>
        <w:jc w:val="center"/>
        <w:rPr>
          <w:rFonts w:ascii="Calibri" w:eastAsia="Calibri" w:hAnsi="Calibri"/>
          <w:b/>
          <w:color w:val="002060"/>
          <w:szCs w:val="22"/>
        </w:rPr>
      </w:pPr>
      <w:r w:rsidRPr="00DF67BC">
        <w:rPr>
          <w:rFonts w:ascii="Calibri" w:eastAsia="Calibri" w:hAnsi="Calibri"/>
          <w:b/>
          <w:color w:val="002060"/>
          <w:szCs w:val="22"/>
        </w:rPr>
        <w:t xml:space="preserve">Wykres 3. Prognozowana zmiana produktywności pracy </w:t>
      </w:r>
    </w:p>
    <w:p w:rsidR="00DF67BC" w:rsidRPr="00DF67BC" w:rsidRDefault="00DF67BC" w:rsidP="00DF67BC">
      <w:pPr>
        <w:spacing w:line="276" w:lineRule="auto"/>
        <w:jc w:val="center"/>
        <w:rPr>
          <w:rFonts w:ascii="Calibri" w:eastAsia="Calibri" w:hAnsi="Calibri"/>
          <w:b/>
          <w:color w:val="002060"/>
          <w:szCs w:val="22"/>
        </w:rPr>
      </w:pPr>
      <w:r w:rsidRPr="00DF67BC">
        <w:rPr>
          <w:rFonts w:ascii="Calibri" w:eastAsia="Calibri" w:hAnsi="Calibri"/>
          <w:b/>
          <w:color w:val="002060"/>
          <w:szCs w:val="22"/>
        </w:rPr>
        <w:t>w wybranych krajach Unii Europejskiej w 2019 roku (w %)</w:t>
      </w:r>
    </w:p>
    <w:p w:rsidR="00DF67BC" w:rsidRPr="00DF67BC" w:rsidRDefault="00DF67BC" w:rsidP="00DF67BC">
      <w:pPr>
        <w:spacing w:after="160" w:line="259" w:lineRule="auto"/>
        <w:rPr>
          <w:rFonts w:ascii="Calibri" w:eastAsia="Calibri" w:hAnsi="Calibri"/>
          <w:sz w:val="22"/>
          <w:szCs w:val="22"/>
        </w:rPr>
      </w:pPr>
      <w:r w:rsidRPr="00DF67BC">
        <w:rPr>
          <w:rFonts w:ascii="Calibri" w:eastAsia="Calibri" w:hAnsi="Calibri"/>
          <w:noProof/>
          <w:sz w:val="22"/>
          <w:szCs w:val="22"/>
          <w:lang w:val="en-US"/>
        </w:rPr>
        <w:lastRenderedPageBreak/>
        <w:drawing>
          <wp:inline distT="0" distB="0" distL="0" distR="0" wp14:anchorId="2999EE70" wp14:editId="115D1070">
            <wp:extent cx="6419850" cy="7467600"/>
            <wp:effectExtent l="0" t="0" r="0" b="0"/>
            <wp:docPr id="12" name="Wykres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DF67BC" w:rsidRPr="00DF67BC" w:rsidRDefault="00DF67BC" w:rsidP="00DF67BC">
      <w:pPr>
        <w:spacing w:line="259" w:lineRule="auto"/>
        <w:jc w:val="center"/>
        <w:rPr>
          <w:rFonts w:ascii="&amp;quot" w:hAnsi="&amp;quot"/>
          <w:color w:val="525252"/>
          <w:sz w:val="18"/>
          <w:szCs w:val="18"/>
          <w:lang w:eastAsia="pl-PL"/>
        </w:rPr>
      </w:pPr>
      <w:r w:rsidRPr="00DF67BC">
        <w:rPr>
          <w:rFonts w:ascii="Calibri" w:eastAsia="Calibri" w:hAnsi="Calibri"/>
          <w:i/>
          <w:sz w:val="20"/>
          <w:szCs w:val="22"/>
        </w:rPr>
        <w:t>Opracowanie Sedlak &amp; Sedlak na podstawie prognoz Komisji Europejskiej</w:t>
      </w:r>
    </w:p>
    <w:p w:rsidR="00E52BE5" w:rsidRPr="00E52BE5" w:rsidRDefault="00E52BE5" w:rsidP="00E52BE5">
      <w:pPr>
        <w:spacing w:line="276" w:lineRule="auto"/>
        <w:jc w:val="both"/>
        <w:rPr>
          <w:rFonts w:ascii="Calibri" w:hAnsi="Calibri"/>
          <w:szCs w:val="22"/>
          <w:lang w:eastAsia="pl-PL"/>
        </w:rPr>
      </w:pPr>
    </w:p>
    <w:p w:rsidR="00DF67BC" w:rsidRPr="00A217F4" w:rsidRDefault="00DF67BC" w:rsidP="00BC1378">
      <w:pPr>
        <w:spacing w:line="276" w:lineRule="auto"/>
        <w:rPr>
          <w:rFonts w:asciiTheme="minorHAnsi" w:eastAsiaTheme="minorHAnsi" w:hAnsiTheme="minorHAnsi"/>
          <w:lang w:eastAsia="pl-PL"/>
        </w:rPr>
      </w:pPr>
    </w:p>
    <w:p w:rsidR="00C755CB" w:rsidRPr="00A217F4" w:rsidRDefault="003D0853" w:rsidP="00BC1378">
      <w:pPr>
        <w:pStyle w:val="aboutus"/>
        <w:spacing w:line="276" w:lineRule="auto"/>
        <w:ind w:left="0"/>
        <w:rPr>
          <w:rFonts w:asciiTheme="minorHAnsi" w:hAnsiTheme="minorHAnsi"/>
          <w:sz w:val="20"/>
          <w:szCs w:val="18"/>
        </w:rPr>
      </w:pPr>
      <w:r>
        <w:rPr>
          <w:rFonts w:asciiTheme="minorHAnsi" w:hAnsiTheme="minorHAnsi"/>
          <w:noProof/>
          <w:lang w:val="en-US" w:eastAsia="en-US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32385</wp:posOffset>
                </wp:positionV>
                <wp:extent cx="5734050" cy="45719"/>
                <wp:effectExtent l="0" t="0" r="19050" b="31115"/>
                <wp:wrapNone/>
                <wp:docPr id="7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34050" cy="45719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54628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type w14:anchorId="5EEA576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margin-left:400.3pt;margin-top:2.55pt;width:451.5pt;height:3.6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" strokecolor="#54628d" strokeweight="1.5pt">
                <w10:wrap anchorx="margin"/>
              </v:shape>
            </w:pict>
          </mc:Fallback>
        </mc:AlternateContent>
      </w:r>
    </w:p>
    <w:p w:rsidR="008A5839" w:rsidRPr="00A217F4" w:rsidRDefault="008A5839" w:rsidP="00BC1378">
      <w:pPr>
        <w:pStyle w:val="aboutus"/>
        <w:spacing w:line="276" w:lineRule="auto"/>
        <w:ind w:left="0"/>
        <w:jc w:val="center"/>
        <w:rPr>
          <w:rFonts w:asciiTheme="minorHAnsi" w:hAnsiTheme="minorHAnsi"/>
          <w:sz w:val="20"/>
          <w:szCs w:val="18"/>
        </w:rPr>
      </w:pPr>
      <w:r w:rsidRPr="00A217F4">
        <w:rPr>
          <w:rFonts w:asciiTheme="minorHAnsi" w:hAnsiTheme="minorHAnsi"/>
          <w:b w:val="0"/>
          <w:bCs w:val="0"/>
          <w:noProof/>
          <w:sz w:val="20"/>
          <w:lang w:val="en-US" w:eastAsia="en-US"/>
        </w:rPr>
        <w:drawing>
          <wp:inline distT="0" distB="0" distL="0" distR="0">
            <wp:extent cx="1619250" cy="200025"/>
            <wp:effectExtent l="0" t="0" r="0" b="0"/>
            <wp:docPr id="2" name="Obraz 2" descr="logo_wynagrodzenia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wynagrodzenia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74B4" w:rsidRPr="0058086E" w:rsidRDefault="00EA72FE" w:rsidP="0058086E">
      <w:pPr>
        <w:autoSpaceDE w:val="0"/>
        <w:autoSpaceDN w:val="0"/>
        <w:adjustRightInd w:val="0"/>
        <w:spacing w:before="240"/>
        <w:rPr>
          <w:rFonts w:ascii="Helv" w:eastAsia="Calibri" w:hAnsi="Helv" w:cs="Helv"/>
          <w:b/>
          <w:bCs/>
          <w:color w:val="000000"/>
          <w:sz w:val="20"/>
          <w:szCs w:val="20"/>
          <w:lang w:eastAsia="pl-PL"/>
        </w:rPr>
      </w:pPr>
      <w:r w:rsidRPr="00A217F4">
        <w:rPr>
          <w:rFonts w:asciiTheme="minorHAnsi" w:eastAsia="Calibri" w:hAnsiTheme="minorHAnsi" w:cs="Calibri"/>
          <w:b/>
          <w:sz w:val="22"/>
          <w:lang w:eastAsia="pl-PL"/>
        </w:rPr>
        <w:t xml:space="preserve">Sedlak </w:t>
      </w:r>
      <w:r w:rsidRPr="00A217F4">
        <w:rPr>
          <w:rFonts w:asciiTheme="minorHAnsi" w:eastAsia="Calibri" w:hAnsiTheme="minorHAnsi" w:cs="Calibri"/>
          <w:b/>
          <w:sz w:val="18"/>
          <w:lang w:eastAsia="pl-PL"/>
        </w:rPr>
        <w:t>&amp;</w:t>
      </w:r>
      <w:r w:rsidRPr="00A217F4">
        <w:rPr>
          <w:rFonts w:asciiTheme="minorHAnsi" w:eastAsia="Calibri" w:hAnsiTheme="minorHAnsi" w:cs="Calibri"/>
          <w:b/>
          <w:sz w:val="22"/>
          <w:lang w:eastAsia="pl-PL"/>
        </w:rPr>
        <w:t xml:space="preserve"> Sedlak wyraża zgodę na publikację niniejszego opracowania pod warunkiem powołania się na źródło: wynagrodzenia.pl oraz zamies</w:t>
      </w:r>
      <w:r w:rsidR="00070AED" w:rsidRPr="00A217F4">
        <w:rPr>
          <w:rFonts w:asciiTheme="minorHAnsi" w:eastAsia="Calibri" w:hAnsiTheme="minorHAnsi" w:cs="Calibri"/>
          <w:b/>
          <w:sz w:val="22"/>
          <w:lang w:eastAsia="pl-PL"/>
        </w:rPr>
        <w:t xml:space="preserve">zczenie pod artykułem aktywnego </w:t>
      </w:r>
      <w:r w:rsidRPr="00A217F4">
        <w:rPr>
          <w:rFonts w:asciiTheme="minorHAnsi" w:eastAsia="Calibri" w:hAnsiTheme="minorHAnsi" w:cs="Calibri"/>
          <w:b/>
          <w:sz w:val="22"/>
          <w:lang w:eastAsia="pl-PL"/>
        </w:rPr>
        <w:t>linku do strony Ogól</w:t>
      </w:r>
      <w:r w:rsidR="00070AED" w:rsidRPr="00A217F4">
        <w:rPr>
          <w:rFonts w:asciiTheme="minorHAnsi" w:eastAsia="Calibri" w:hAnsiTheme="minorHAnsi" w:cs="Calibri"/>
          <w:b/>
          <w:sz w:val="22"/>
          <w:lang w:eastAsia="pl-PL"/>
        </w:rPr>
        <w:t>nopo</w:t>
      </w:r>
      <w:r w:rsidR="00877EA4">
        <w:rPr>
          <w:rFonts w:asciiTheme="minorHAnsi" w:eastAsia="Calibri" w:hAnsiTheme="minorHAnsi" w:cs="Calibri"/>
          <w:b/>
          <w:sz w:val="22"/>
          <w:lang w:eastAsia="pl-PL"/>
        </w:rPr>
        <w:t xml:space="preserve">lskiego Badania Wynagrodzeń </w:t>
      </w:r>
      <w:r w:rsidRPr="00A217F4">
        <w:rPr>
          <w:rFonts w:asciiTheme="minorHAnsi" w:eastAsia="Calibri" w:hAnsiTheme="minorHAnsi" w:cs="Calibri"/>
          <w:b/>
          <w:sz w:val="22"/>
          <w:lang w:eastAsia="pl-PL"/>
        </w:rPr>
        <w:t>(</w:t>
      </w:r>
      <w:hyperlink r:id="rId15" w:history="1">
        <w:r w:rsidR="000220E7" w:rsidRPr="000220E7">
          <w:rPr>
            <w:rStyle w:val="Hipercze"/>
            <w:rFonts w:ascii="Calibri" w:eastAsia="Calibri" w:hAnsi="Calibri" w:cs="Calibri"/>
            <w:b/>
            <w:bCs/>
            <w:sz w:val="22"/>
            <w:szCs w:val="22"/>
            <w:lang w:eastAsia="pl-PL"/>
          </w:rPr>
          <w:t>http://wynagrodzenia.pl/</w:t>
        </w:r>
        <w:r w:rsidR="000220E7" w:rsidRPr="000220E7">
          <w:rPr>
            <w:rStyle w:val="Hipercze"/>
            <w:rFonts w:ascii="Helv" w:eastAsia="Calibri" w:hAnsi="Helv" w:cs="Helv"/>
            <w:b/>
            <w:bCs/>
            <w:sz w:val="20"/>
            <w:szCs w:val="20"/>
            <w:lang w:eastAsia="pl-PL"/>
          </w:rPr>
          <w:t>t/ogolnopolskie-badanie-wynagrodzen-np</w:t>
        </w:r>
      </w:hyperlink>
      <w:r w:rsidRPr="00A217F4">
        <w:rPr>
          <w:rFonts w:asciiTheme="minorHAnsi" w:eastAsia="Calibri" w:hAnsiTheme="minorHAnsi" w:cs="Calibri"/>
          <w:b/>
          <w:sz w:val="22"/>
          <w:lang w:eastAsia="pl-PL"/>
        </w:rPr>
        <w:t xml:space="preserve">) czcionką nie mniejszą niż czcionka użyta w publikacji. </w:t>
      </w:r>
    </w:p>
    <w:sectPr w:rsidR="003974B4" w:rsidRPr="0058086E" w:rsidSect="00816937">
      <w:headerReference w:type="default" r:id="rId16"/>
      <w:footerReference w:type="default" r:id="rId17"/>
      <w:pgSz w:w="11906" w:h="16838"/>
      <w:pgMar w:top="1950" w:right="1418" w:bottom="1985" w:left="1418" w:header="709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3E49" w:rsidRDefault="00583E49">
      <w:r>
        <w:separator/>
      </w:r>
    </w:p>
  </w:endnote>
  <w:endnote w:type="continuationSeparator" w:id="0">
    <w:p w:rsidR="00583E49" w:rsidRDefault="00583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&amp;quot">
    <w:altName w:val="Cambria"/>
    <w:panose1 w:val="00000000000000000000"/>
    <w:charset w:val="00"/>
    <w:family w:val="roman"/>
    <w:notTrueType/>
    <w:pitch w:val="default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162A" w:rsidRDefault="003D0853">
    <w:pPr>
      <w:pStyle w:val="Stopka"/>
      <w:tabs>
        <w:tab w:val="clear" w:pos="4536"/>
        <w:tab w:val="left" w:pos="1985"/>
        <w:tab w:val="left" w:pos="4111"/>
      </w:tabs>
      <w:spacing w:line="360" w:lineRule="auto"/>
      <w:rPr>
        <w:rFonts w:ascii="Arial" w:hAnsi="Arial" w:cs="Arial"/>
        <w:color w:val="4F648B"/>
        <w:sz w:val="12"/>
        <w:szCs w:val="12"/>
      </w:rPr>
    </w:pPr>
    <w:r>
      <w:rPr>
        <w:rFonts w:ascii="Arial" w:hAnsi="Arial" w:cs="Arial"/>
        <w:noProof/>
        <w:color w:val="4F648B"/>
        <w:sz w:val="12"/>
        <w:szCs w:val="12"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-127635</wp:posOffset>
              </wp:positionH>
              <wp:positionV relativeFrom="paragraph">
                <wp:posOffset>-16510</wp:posOffset>
              </wp:positionV>
              <wp:extent cx="635" cy="862965"/>
              <wp:effectExtent l="0" t="0" r="37465" b="32385"/>
              <wp:wrapNone/>
              <wp:docPr id="5" name="AutoShap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6296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E2AA1E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shapetype w14:anchorId="2A3267E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0" o:spid="_x0000_s1026" type="#_x0000_t32" style="position:absolute;margin-left:-10.05pt;margin-top:-1.3pt;width:.05pt;height:6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" strokecolor="#e2aa1e"/>
          </w:pict>
        </mc:Fallback>
      </mc:AlternateContent>
    </w:r>
    <w:r w:rsidR="0007162A">
      <w:rPr>
        <w:rFonts w:ascii="Arial" w:hAnsi="Arial" w:cs="Arial"/>
        <w:color w:val="4F648B"/>
        <w:sz w:val="12"/>
        <w:szCs w:val="12"/>
      </w:rPr>
      <w:t xml:space="preserve">Sedlak </w:t>
    </w:r>
    <w:r w:rsidR="0007162A">
      <w:rPr>
        <w:rFonts w:ascii="Arial" w:hAnsi="Arial" w:cs="Arial"/>
        <w:color w:val="4F648B"/>
        <w:sz w:val="10"/>
        <w:szCs w:val="10"/>
      </w:rPr>
      <w:t>&amp;</w:t>
    </w:r>
    <w:r w:rsidR="0007162A">
      <w:rPr>
        <w:rFonts w:ascii="Arial" w:hAnsi="Arial" w:cs="Arial"/>
        <w:color w:val="4F648B"/>
        <w:sz w:val="12"/>
        <w:szCs w:val="12"/>
      </w:rPr>
      <w:t xml:space="preserve"> Sedlak</w:t>
    </w:r>
    <w:r w:rsidR="0007162A">
      <w:rPr>
        <w:rFonts w:ascii="Arial" w:hAnsi="Arial" w:cs="Arial"/>
        <w:color w:val="4F648B"/>
        <w:sz w:val="12"/>
        <w:szCs w:val="12"/>
      </w:rPr>
      <w:tab/>
      <w:t>tel. +48 12 625 59 10</w:t>
    </w:r>
    <w:r w:rsidR="0007162A">
      <w:rPr>
        <w:rFonts w:ascii="Arial" w:hAnsi="Arial" w:cs="Arial"/>
        <w:color w:val="4F648B"/>
        <w:sz w:val="12"/>
        <w:szCs w:val="12"/>
      </w:rPr>
      <w:tab/>
      <w:t>www.sedlak.pl</w:t>
    </w:r>
    <w:r w:rsidR="0007162A">
      <w:rPr>
        <w:rFonts w:ascii="Arial" w:hAnsi="Arial" w:cs="Arial"/>
        <w:color w:val="4F648B"/>
        <w:sz w:val="12"/>
        <w:szCs w:val="12"/>
      </w:rPr>
      <w:br/>
      <w:t>ul. Królowej Jadwigi 189 B</w:t>
    </w:r>
    <w:r w:rsidR="0007162A">
      <w:rPr>
        <w:rFonts w:ascii="Arial" w:hAnsi="Arial" w:cs="Arial"/>
        <w:color w:val="4F648B"/>
        <w:sz w:val="12"/>
        <w:szCs w:val="12"/>
      </w:rPr>
      <w:tab/>
      <w:t>fax +48 12 625 59 20</w:t>
    </w:r>
    <w:r w:rsidR="0007162A">
      <w:rPr>
        <w:rFonts w:ascii="Arial" w:hAnsi="Arial" w:cs="Arial"/>
        <w:color w:val="4F648B"/>
        <w:sz w:val="12"/>
        <w:szCs w:val="12"/>
      </w:rPr>
      <w:tab/>
      <w:t>www.rynekpracy.pl</w:t>
    </w:r>
  </w:p>
  <w:p w:rsidR="0007162A" w:rsidRDefault="0007162A">
    <w:pPr>
      <w:pStyle w:val="Stopka"/>
      <w:tabs>
        <w:tab w:val="clear" w:pos="4536"/>
        <w:tab w:val="left" w:pos="1985"/>
        <w:tab w:val="left" w:pos="4111"/>
      </w:tabs>
      <w:spacing w:line="360" w:lineRule="auto"/>
      <w:rPr>
        <w:rFonts w:ascii="Arial" w:hAnsi="Arial" w:cs="Arial"/>
        <w:color w:val="4F648B"/>
        <w:sz w:val="12"/>
        <w:szCs w:val="12"/>
      </w:rPr>
    </w:pPr>
    <w:r>
      <w:rPr>
        <w:rFonts w:ascii="Arial" w:hAnsi="Arial" w:cs="Arial"/>
        <w:color w:val="4F648B"/>
        <w:sz w:val="12"/>
        <w:szCs w:val="12"/>
      </w:rPr>
      <w:t xml:space="preserve">30-220 Kraków </w:t>
    </w:r>
    <w:r>
      <w:rPr>
        <w:rFonts w:ascii="Arial" w:hAnsi="Arial" w:cs="Arial"/>
        <w:color w:val="4F648B"/>
        <w:sz w:val="12"/>
        <w:szCs w:val="12"/>
      </w:rPr>
      <w:tab/>
      <w:t>sedlak@sedlak.pl</w:t>
    </w:r>
    <w:r>
      <w:rPr>
        <w:rFonts w:ascii="Arial" w:hAnsi="Arial" w:cs="Arial"/>
        <w:color w:val="4F648B"/>
        <w:sz w:val="12"/>
        <w:szCs w:val="12"/>
      </w:rPr>
      <w:tab/>
      <w:t>www.wynagrodzenia.pl</w:t>
    </w:r>
  </w:p>
  <w:p w:rsidR="0007162A" w:rsidRDefault="0007162A">
    <w:pPr>
      <w:pStyle w:val="Stopka"/>
      <w:tabs>
        <w:tab w:val="clear" w:pos="4536"/>
        <w:tab w:val="left" w:pos="1418"/>
      </w:tabs>
      <w:spacing w:line="360" w:lineRule="auto"/>
      <w:ind w:left="-1843"/>
      <w:rPr>
        <w:rFonts w:ascii="Arial" w:hAnsi="Arial" w:cs="Arial"/>
        <w:color w:val="4F648B"/>
        <w:sz w:val="12"/>
        <w:szCs w:val="12"/>
      </w:rPr>
    </w:pPr>
    <w:r>
      <w:rPr>
        <w:rFonts w:ascii="Arial" w:hAnsi="Arial" w:cs="Arial"/>
        <w:color w:val="4F648B"/>
        <w:sz w:val="12"/>
        <w:szCs w:val="12"/>
      </w:rPr>
      <w:b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3E49" w:rsidRDefault="00583E49">
      <w:r>
        <w:separator/>
      </w:r>
    </w:p>
  </w:footnote>
  <w:footnote w:type="continuationSeparator" w:id="0">
    <w:p w:rsidR="00583E49" w:rsidRDefault="00583E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162A" w:rsidRDefault="0007162A">
    <w:pPr>
      <w:pStyle w:val="Nagwek"/>
    </w:pPr>
    <w:r>
      <w:rPr>
        <w:noProof/>
        <w:lang w:val="en-US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-59055</wp:posOffset>
          </wp:positionH>
          <wp:positionV relativeFrom="paragraph">
            <wp:posOffset>197485</wp:posOffset>
          </wp:positionV>
          <wp:extent cx="1920875" cy="257175"/>
          <wp:effectExtent l="19050" t="0" r="3175" b="0"/>
          <wp:wrapNone/>
          <wp:docPr id="9" name="Obraz 9" descr="logo_papi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logo_papi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0875" cy="257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D0853">
      <w:rPr>
        <w:rFonts w:ascii="Arial" w:hAnsi="Arial" w:cs="Arial"/>
        <w:noProof/>
        <w:color w:val="4F648B"/>
        <w:sz w:val="12"/>
        <w:szCs w:val="12"/>
        <w:lang w:val="en-US"/>
      </w:rPr>
      <mc:AlternateContent>
        <mc:Choice Requires="wps">
          <w:drawing>
            <wp:anchor distT="0" distB="0" distL="114298" distR="114298" simplePos="0" relativeHeight="251658752" behindDoc="0" locked="0" layoutInCell="1" allowOverlap="1">
              <wp:simplePos x="0" y="0"/>
              <wp:positionH relativeFrom="column">
                <wp:posOffset>-127636</wp:posOffset>
              </wp:positionH>
              <wp:positionV relativeFrom="paragraph">
                <wp:posOffset>-189865</wp:posOffset>
              </wp:positionV>
              <wp:extent cx="0" cy="644525"/>
              <wp:effectExtent l="0" t="0" r="19050" b="22225"/>
              <wp:wrapNone/>
              <wp:docPr id="6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4452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E2AA1E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shapetype w14:anchorId="166A45B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-10.05pt;margin-top:-14.95pt;width:0;height:50.75pt;z-index:25165875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" strokecolor="#e2aa1e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F517C"/>
    <w:multiLevelType w:val="hybridMultilevel"/>
    <w:tmpl w:val="8724F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16115"/>
    <w:multiLevelType w:val="multilevel"/>
    <w:tmpl w:val="46409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5C274F"/>
    <w:multiLevelType w:val="multilevel"/>
    <w:tmpl w:val="810C0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0A3883"/>
    <w:multiLevelType w:val="multilevel"/>
    <w:tmpl w:val="723A83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A6F58B3"/>
    <w:multiLevelType w:val="hybridMultilevel"/>
    <w:tmpl w:val="039239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7B093F"/>
    <w:multiLevelType w:val="hybridMultilevel"/>
    <w:tmpl w:val="AD1200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017778"/>
    <w:multiLevelType w:val="multilevel"/>
    <w:tmpl w:val="1AFA4A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93E5754"/>
    <w:multiLevelType w:val="hybridMultilevel"/>
    <w:tmpl w:val="1ADCC3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C937C8"/>
    <w:multiLevelType w:val="hybridMultilevel"/>
    <w:tmpl w:val="483ECD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A87EC1"/>
    <w:multiLevelType w:val="hybridMultilevel"/>
    <w:tmpl w:val="FCEEF1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9E61D4"/>
    <w:multiLevelType w:val="hybridMultilevel"/>
    <w:tmpl w:val="B49A0E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59379D"/>
    <w:multiLevelType w:val="multilevel"/>
    <w:tmpl w:val="71821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A0215E1"/>
    <w:multiLevelType w:val="multilevel"/>
    <w:tmpl w:val="2B4C7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A3C4496"/>
    <w:multiLevelType w:val="hybridMultilevel"/>
    <w:tmpl w:val="8FBA7786"/>
    <w:lvl w:ilvl="0" w:tplc="6EA2CFBA">
      <w:numFmt w:val="bullet"/>
      <w:lvlText w:val="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C92ADB"/>
    <w:multiLevelType w:val="multilevel"/>
    <w:tmpl w:val="BA4C9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0547E8F"/>
    <w:multiLevelType w:val="hybridMultilevel"/>
    <w:tmpl w:val="3230B264"/>
    <w:lvl w:ilvl="0" w:tplc="381A85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8C13B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37097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43AEE7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BE403A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3E85A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90E67E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2249EE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F22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40462B7"/>
    <w:multiLevelType w:val="multilevel"/>
    <w:tmpl w:val="8B48D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4DD6664"/>
    <w:multiLevelType w:val="multilevel"/>
    <w:tmpl w:val="BA4A5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59A2C4B"/>
    <w:multiLevelType w:val="hybridMultilevel"/>
    <w:tmpl w:val="E97A99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412B4E"/>
    <w:multiLevelType w:val="multilevel"/>
    <w:tmpl w:val="2BB2AA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1081A63"/>
    <w:multiLevelType w:val="hybridMultilevel"/>
    <w:tmpl w:val="0FE41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9435B9"/>
    <w:multiLevelType w:val="hybridMultilevel"/>
    <w:tmpl w:val="9FF60A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AD131C"/>
    <w:multiLevelType w:val="hybridMultilevel"/>
    <w:tmpl w:val="BFB2B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"/>
  </w:num>
  <w:num w:numId="3">
    <w:abstractNumId w:val="7"/>
  </w:num>
  <w:num w:numId="4">
    <w:abstractNumId w:val="13"/>
  </w:num>
  <w:num w:numId="5">
    <w:abstractNumId w:val="10"/>
  </w:num>
  <w:num w:numId="6">
    <w:abstractNumId w:val="22"/>
  </w:num>
  <w:num w:numId="7">
    <w:abstractNumId w:val="19"/>
  </w:num>
  <w:num w:numId="8">
    <w:abstractNumId w:val="6"/>
  </w:num>
  <w:num w:numId="9">
    <w:abstractNumId w:val="0"/>
  </w:num>
  <w:num w:numId="10">
    <w:abstractNumId w:val="4"/>
  </w:num>
  <w:num w:numId="11">
    <w:abstractNumId w:val="16"/>
  </w:num>
  <w:num w:numId="12">
    <w:abstractNumId w:val="12"/>
  </w:num>
  <w:num w:numId="13">
    <w:abstractNumId w:val="1"/>
  </w:num>
  <w:num w:numId="14">
    <w:abstractNumId w:val="2"/>
  </w:num>
  <w:num w:numId="15">
    <w:abstractNumId w:val="17"/>
  </w:num>
  <w:num w:numId="16">
    <w:abstractNumId w:val="11"/>
  </w:num>
  <w:num w:numId="17">
    <w:abstractNumId w:val="21"/>
  </w:num>
  <w:num w:numId="18">
    <w:abstractNumId w:val="14"/>
  </w:num>
  <w:num w:numId="19">
    <w:abstractNumId w:val="18"/>
  </w:num>
  <w:num w:numId="20">
    <w:abstractNumId w:val="8"/>
  </w:num>
  <w:num w:numId="21">
    <w:abstractNumId w:val="5"/>
  </w:num>
  <w:num w:numId="22">
    <w:abstractNumId w:val="9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/>
  <w:defaultTabStop w:val="708"/>
  <w:hyphenationZone w:val="425"/>
  <w:characterSpacingControl w:val="doNotCompress"/>
  <w:hdrShapeDefaults>
    <o:shapedefaults v:ext="edit" spidmax="157697" strokecolor="#54628d">
      <v:stroke color="#54628d" weight="1.5pt"/>
      <o:colormru v:ext="edit" colors="#e2aa1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812"/>
    <w:rsid w:val="0000005A"/>
    <w:rsid w:val="00000F26"/>
    <w:rsid w:val="0000157E"/>
    <w:rsid w:val="00011D89"/>
    <w:rsid w:val="00011F76"/>
    <w:rsid w:val="00013B3F"/>
    <w:rsid w:val="00017A00"/>
    <w:rsid w:val="00020694"/>
    <w:rsid w:val="00021177"/>
    <w:rsid w:val="000220E7"/>
    <w:rsid w:val="00033E7A"/>
    <w:rsid w:val="00035685"/>
    <w:rsid w:val="0004176F"/>
    <w:rsid w:val="00043BA9"/>
    <w:rsid w:val="000447AA"/>
    <w:rsid w:val="00046455"/>
    <w:rsid w:val="0004729F"/>
    <w:rsid w:val="00053C6B"/>
    <w:rsid w:val="00054F2C"/>
    <w:rsid w:val="00056179"/>
    <w:rsid w:val="00057133"/>
    <w:rsid w:val="00065B99"/>
    <w:rsid w:val="00065F9C"/>
    <w:rsid w:val="00070AED"/>
    <w:rsid w:val="0007162A"/>
    <w:rsid w:val="00072FCA"/>
    <w:rsid w:val="00074290"/>
    <w:rsid w:val="0007565C"/>
    <w:rsid w:val="00076D55"/>
    <w:rsid w:val="0007765D"/>
    <w:rsid w:val="0008501D"/>
    <w:rsid w:val="0008540A"/>
    <w:rsid w:val="000A2D4F"/>
    <w:rsid w:val="000A396D"/>
    <w:rsid w:val="000A622D"/>
    <w:rsid w:val="000A7411"/>
    <w:rsid w:val="000A7AEB"/>
    <w:rsid w:val="000B21C5"/>
    <w:rsid w:val="000B25B1"/>
    <w:rsid w:val="000B29BE"/>
    <w:rsid w:val="000B4476"/>
    <w:rsid w:val="000B44A1"/>
    <w:rsid w:val="000B6328"/>
    <w:rsid w:val="000B63B0"/>
    <w:rsid w:val="000C01A7"/>
    <w:rsid w:val="000C08B6"/>
    <w:rsid w:val="000C0CB9"/>
    <w:rsid w:val="000C0E83"/>
    <w:rsid w:val="000C1B5D"/>
    <w:rsid w:val="000C2BDF"/>
    <w:rsid w:val="000C743A"/>
    <w:rsid w:val="000D470B"/>
    <w:rsid w:val="000D5C6E"/>
    <w:rsid w:val="000D659F"/>
    <w:rsid w:val="000D71CE"/>
    <w:rsid w:val="000E0C28"/>
    <w:rsid w:val="000E146A"/>
    <w:rsid w:val="000E27BC"/>
    <w:rsid w:val="000E4739"/>
    <w:rsid w:val="000F5029"/>
    <w:rsid w:val="00104807"/>
    <w:rsid w:val="0010695E"/>
    <w:rsid w:val="001070E5"/>
    <w:rsid w:val="00110DE1"/>
    <w:rsid w:val="001148E8"/>
    <w:rsid w:val="00125F6B"/>
    <w:rsid w:val="00126B2C"/>
    <w:rsid w:val="00126F9A"/>
    <w:rsid w:val="001341F5"/>
    <w:rsid w:val="00134DC6"/>
    <w:rsid w:val="00140A4B"/>
    <w:rsid w:val="00145C4D"/>
    <w:rsid w:val="00150032"/>
    <w:rsid w:val="00150A0F"/>
    <w:rsid w:val="0015321A"/>
    <w:rsid w:val="00156DA7"/>
    <w:rsid w:val="0015783F"/>
    <w:rsid w:val="00165E75"/>
    <w:rsid w:val="00171840"/>
    <w:rsid w:val="00171A3E"/>
    <w:rsid w:val="00174304"/>
    <w:rsid w:val="00174C32"/>
    <w:rsid w:val="0017528D"/>
    <w:rsid w:val="00182578"/>
    <w:rsid w:val="00183F7E"/>
    <w:rsid w:val="001856B5"/>
    <w:rsid w:val="00185BF8"/>
    <w:rsid w:val="00193068"/>
    <w:rsid w:val="00195689"/>
    <w:rsid w:val="001A033F"/>
    <w:rsid w:val="001A16B2"/>
    <w:rsid w:val="001A1C71"/>
    <w:rsid w:val="001B0643"/>
    <w:rsid w:val="001B196A"/>
    <w:rsid w:val="001B321F"/>
    <w:rsid w:val="001C4D42"/>
    <w:rsid w:val="001D145C"/>
    <w:rsid w:val="001D2559"/>
    <w:rsid w:val="001D406E"/>
    <w:rsid w:val="001D469A"/>
    <w:rsid w:val="001D6473"/>
    <w:rsid w:val="001D64D0"/>
    <w:rsid w:val="001E1C72"/>
    <w:rsid w:val="001E4FBA"/>
    <w:rsid w:val="001E681A"/>
    <w:rsid w:val="001F0C21"/>
    <w:rsid w:val="001F1B2A"/>
    <w:rsid w:val="001F4A14"/>
    <w:rsid w:val="001F786C"/>
    <w:rsid w:val="00212B6F"/>
    <w:rsid w:val="00212D95"/>
    <w:rsid w:val="00213CF8"/>
    <w:rsid w:val="00215F9E"/>
    <w:rsid w:val="002209F7"/>
    <w:rsid w:val="00224816"/>
    <w:rsid w:val="00227337"/>
    <w:rsid w:val="00233678"/>
    <w:rsid w:val="002338EC"/>
    <w:rsid w:val="00236190"/>
    <w:rsid w:val="0024085C"/>
    <w:rsid w:val="00246164"/>
    <w:rsid w:val="0024643F"/>
    <w:rsid w:val="0024733C"/>
    <w:rsid w:val="002511D5"/>
    <w:rsid w:val="00251B52"/>
    <w:rsid w:val="00251BF1"/>
    <w:rsid w:val="0025325F"/>
    <w:rsid w:val="00253DFE"/>
    <w:rsid w:val="00253FD1"/>
    <w:rsid w:val="00254A61"/>
    <w:rsid w:val="002620E3"/>
    <w:rsid w:val="00283CA9"/>
    <w:rsid w:val="00284A21"/>
    <w:rsid w:val="002874B6"/>
    <w:rsid w:val="00294F3E"/>
    <w:rsid w:val="002A12E3"/>
    <w:rsid w:val="002A3C85"/>
    <w:rsid w:val="002A7807"/>
    <w:rsid w:val="002B3583"/>
    <w:rsid w:val="002B3C18"/>
    <w:rsid w:val="002B6682"/>
    <w:rsid w:val="002C2CB9"/>
    <w:rsid w:val="002D0876"/>
    <w:rsid w:val="002D0F3D"/>
    <w:rsid w:val="002D352D"/>
    <w:rsid w:val="002D7055"/>
    <w:rsid w:val="002E18BF"/>
    <w:rsid w:val="002F06D9"/>
    <w:rsid w:val="002F18B2"/>
    <w:rsid w:val="002F52E5"/>
    <w:rsid w:val="002F7E8A"/>
    <w:rsid w:val="00303FFA"/>
    <w:rsid w:val="003133CE"/>
    <w:rsid w:val="00313A17"/>
    <w:rsid w:val="00313B7F"/>
    <w:rsid w:val="00314697"/>
    <w:rsid w:val="0032183C"/>
    <w:rsid w:val="00325771"/>
    <w:rsid w:val="0033554D"/>
    <w:rsid w:val="00336B92"/>
    <w:rsid w:val="00340A66"/>
    <w:rsid w:val="003429B3"/>
    <w:rsid w:val="003444E1"/>
    <w:rsid w:val="0034458E"/>
    <w:rsid w:val="00346738"/>
    <w:rsid w:val="00353B31"/>
    <w:rsid w:val="00354444"/>
    <w:rsid w:val="0036020E"/>
    <w:rsid w:val="0036232C"/>
    <w:rsid w:val="00363197"/>
    <w:rsid w:val="0037333D"/>
    <w:rsid w:val="00374BE4"/>
    <w:rsid w:val="0037652C"/>
    <w:rsid w:val="003777A1"/>
    <w:rsid w:val="003866A1"/>
    <w:rsid w:val="00387A68"/>
    <w:rsid w:val="00387BF1"/>
    <w:rsid w:val="00392543"/>
    <w:rsid w:val="00395CCB"/>
    <w:rsid w:val="003974B4"/>
    <w:rsid w:val="003A443A"/>
    <w:rsid w:val="003A73F1"/>
    <w:rsid w:val="003B1BE0"/>
    <w:rsid w:val="003B35F2"/>
    <w:rsid w:val="003B5D5E"/>
    <w:rsid w:val="003C1054"/>
    <w:rsid w:val="003C5113"/>
    <w:rsid w:val="003C54DE"/>
    <w:rsid w:val="003D0853"/>
    <w:rsid w:val="003D47FF"/>
    <w:rsid w:val="003D484D"/>
    <w:rsid w:val="003D5828"/>
    <w:rsid w:val="003E60DE"/>
    <w:rsid w:val="003F0DD5"/>
    <w:rsid w:val="003F6B6D"/>
    <w:rsid w:val="003F7B02"/>
    <w:rsid w:val="003F7CD4"/>
    <w:rsid w:val="004016EC"/>
    <w:rsid w:val="004200D7"/>
    <w:rsid w:val="00420393"/>
    <w:rsid w:val="004278AD"/>
    <w:rsid w:val="00427EFD"/>
    <w:rsid w:val="00442786"/>
    <w:rsid w:val="0044507B"/>
    <w:rsid w:val="00452112"/>
    <w:rsid w:val="00454EFA"/>
    <w:rsid w:val="00460787"/>
    <w:rsid w:val="0046147C"/>
    <w:rsid w:val="004616DA"/>
    <w:rsid w:val="00466AC7"/>
    <w:rsid w:val="00472479"/>
    <w:rsid w:val="004761BB"/>
    <w:rsid w:val="00480877"/>
    <w:rsid w:val="00481BE8"/>
    <w:rsid w:val="0048505B"/>
    <w:rsid w:val="00487F9C"/>
    <w:rsid w:val="00490679"/>
    <w:rsid w:val="00493681"/>
    <w:rsid w:val="004A0D01"/>
    <w:rsid w:val="004A45E5"/>
    <w:rsid w:val="004A6E23"/>
    <w:rsid w:val="004A7C8C"/>
    <w:rsid w:val="004B17E0"/>
    <w:rsid w:val="004B677A"/>
    <w:rsid w:val="004C0B07"/>
    <w:rsid w:val="004C2A2D"/>
    <w:rsid w:val="004C4F9D"/>
    <w:rsid w:val="004C6491"/>
    <w:rsid w:val="004C7D5A"/>
    <w:rsid w:val="004D39E8"/>
    <w:rsid w:val="004D3BF3"/>
    <w:rsid w:val="004D49D1"/>
    <w:rsid w:val="004F00D3"/>
    <w:rsid w:val="005078F7"/>
    <w:rsid w:val="005111D8"/>
    <w:rsid w:val="00514744"/>
    <w:rsid w:val="00526EBB"/>
    <w:rsid w:val="0052750E"/>
    <w:rsid w:val="005316C8"/>
    <w:rsid w:val="00537F5A"/>
    <w:rsid w:val="00545D3A"/>
    <w:rsid w:val="00552191"/>
    <w:rsid w:val="0056083F"/>
    <w:rsid w:val="0057587E"/>
    <w:rsid w:val="0058086E"/>
    <w:rsid w:val="00582349"/>
    <w:rsid w:val="00582F2E"/>
    <w:rsid w:val="00583E49"/>
    <w:rsid w:val="0058642C"/>
    <w:rsid w:val="00590BA0"/>
    <w:rsid w:val="00592555"/>
    <w:rsid w:val="00596EBC"/>
    <w:rsid w:val="0059743E"/>
    <w:rsid w:val="005A10D4"/>
    <w:rsid w:val="005A7228"/>
    <w:rsid w:val="005C0812"/>
    <w:rsid w:val="005C0C4A"/>
    <w:rsid w:val="005C2F0F"/>
    <w:rsid w:val="005C5696"/>
    <w:rsid w:val="005C60A6"/>
    <w:rsid w:val="005C7E59"/>
    <w:rsid w:val="005D4D03"/>
    <w:rsid w:val="005D71FC"/>
    <w:rsid w:val="005D73CA"/>
    <w:rsid w:val="005E6578"/>
    <w:rsid w:val="005E6716"/>
    <w:rsid w:val="0060213D"/>
    <w:rsid w:val="0060721F"/>
    <w:rsid w:val="00607ED4"/>
    <w:rsid w:val="006157AE"/>
    <w:rsid w:val="0062174A"/>
    <w:rsid w:val="00622EDE"/>
    <w:rsid w:val="006232E5"/>
    <w:rsid w:val="006249D3"/>
    <w:rsid w:val="00627DF2"/>
    <w:rsid w:val="0063766E"/>
    <w:rsid w:val="00640874"/>
    <w:rsid w:val="0064290F"/>
    <w:rsid w:val="0064418A"/>
    <w:rsid w:val="00644723"/>
    <w:rsid w:val="006470E5"/>
    <w:rsid w:val="00657E85"/>
    <w:rsid w:val="00662A81"/>
    <w:rsid w:val="0066353F"/>
    <w:rsid w:val="00670A17"/>
    <w:rsid w:val="00673C2D"/>
    <w:rsid w:val="0067729F"/>
    <w:rsid w:val="006812B2"/>
    <w:rsid w:val="0068362B"/>
    <w:rsid w:val="0068464B"/>
    <w:rsid w:val="006A0B1B"/>
    <w:rsid w:val="006A1003"/>
    <w:rsid w:val="006A2F73"/>
    <w:rsid w:val="006B089C"/>
    <w:rsid w:val="006C3C5A"/>
    <w:rsid w:val="006D03DA"/>
    <w:rsid w:val="006D076E"/>
    <w:rsid w:val="006D3991"/>
    <w:rsid w:val="006E21D8"/>
    <w:rsid w:val="006E2920"/>
    <w:rsid w:val="006F1A40"/>
    <w:rsid w:val="006F44D4"/>
    <w:rsid w:val="006F4843"/>
    <w:rsid w:val="006F6577"/>
    <w:rsid w:val="006F7B94"/>
    <w:rsid w:val="006F7D00"/>
    <w:rsid w:val="00700235"/>
    <w:rsid w:val="00702ABD"/>
    <w:rsid w:val="0070322E"/>
    <w:rsid w:val="00704253"/>
    <w:rsid w:val="00711B6A"/>
    <w:rsid w:val="00733219"/>
    <w:rsid w:val="00735EE7"/>
    <w:rsid w:val="00736597"/>
    <w:rsid w:val="00737915"/>
    <w:rsid w:val="00744380"/>
    <w:rsid w:val="00745D9C"/>
    <w:rsid w:val="00746A5C"/>
    <w:rsid w:val="0075073F"/>
    <w:rsid w:val="007508B4"/>
    <w:rsid w:val="00750C95"/>
    <w:rsid w:val="0075321F"/>
    <w:rsid w:val="007533E8"/>
    <w:rsid w:val="00753CB3"/>
    <w:rsid w:val="00755864"/>
    <w:rsid w:val="0076436E"/>
    <w:rsid w:val="00764486"/>
    <w:rsid w:val="0077201F"/>
    <w:rsid w:val="0077598D"/>
    <w:rsid w:val="00777AE4"/>
    <w:rsid w:val="00780F8F"/>
    <w:rsid w:val="00782F94"/>
    <w:rsid w:val="007918E1"/>
    <w:rsid w:val="00792EBD"/>
    <w:rsid w:val="007A6054"/>
    <w:rsid w:val="007A7E53"/>
    <w:rsid w:val="007B5839"/>
    <w:rsid w:val="007C29D2"/>
    <w:rsid w:val="007C5EA1"/>
    <w:rsid w:val="007D3F41"/>
    <w:rsid w:val="007D4E4A"/>
    <w:rsid w:val="007D6E2F"/>
    <w:rsid w:val="007E70B5"/>
    <w:rsid w:val="007F38A1"/>
    <w:rsid w:val="007F4398"/>
    <w:rsid w:val="007F5138"/>
    <w:rsid w:val="007F51CD"/>
    <w:rsid w:val="00803F7F"/>
    <w:rsid w:val="00805DAA"/>
    <w:rsid w:val="00816937"/>
    <w:rsid w:val="00820A6F"/>
    <w:rsid w:val="00820DA2"/>
    <w:rsid w:val="0082710F"/>
    <w:rsid w:val="008271C7"/>
    <w:rsid w:val="008328ED"/>
    <w:rsid w:val="00843FE8"/>
    <w:rsid w:val="008479DF"/>
    <w:rsid w:val="00850D62"/>
    <w:rsid w:val="00852F2A"/>
    <w:rsid w:val="008531FC"/>
    <w:rsid w:val="00853CC5"/>
    <w:rsid w:val="00863203"/>
    <w:rsid w:val="00874486"/>
    <w:rsid w:val="00877EA4"/>
    <w:rsid w:val="008811D5"/>
    <w:rsid w:val="00881459"/>
    <w:rsid w:val="00884B40"/>
    <w:rsid w:val="00884F06"/>
    <w:rsid w:val="00885A52"/>
    <w:rsid w:val="008A0C2E"/>
    <w:rsid w:val="008A1211"/>
    <w:rsid w:val="008A34A9"/>
    <w:rsid w:val="008A43AF"/>
    <w:rsid w:val="008A5839"/>
    <w:rsid w:val="008B4C9C"/>
    <w:rsid w:val="008B5AD9"/>
    <w:rsid w:val="008C7AC7"/>
    <w:rsid w:val="008D771C"/>
    <w:rsid w:val="008E2F02"/>
    <w:rsid w:val="008E7D39"/>
    <w:rsid w:val="008F1503"/>
    <w:rsid w:val="008F2489"/>
    <w:rsid w:val="008F52EC"/>
    <w:rsid w:val="008F76A0"/>
    <w:rsid w:val="009051BC"/>
    <w:rsid w:val="009119CF"/>
    <w:rsid w:val="00916298"/>
    <w:rsid w:val="009165AA"/>
    <w:rsid w:val="0092156E"/>
    <w:rsid w:val="00921A5E"/>
    <w:rsid w:val="00926314"/>
    <w:rsid w:val="0092702C"/>
    <w:rsid w:val="009343BF"/>
    <w:rsid w:val="00942DDE"/>
    <w:rsid w:val="00942E68"/>
    <w:rsid w:val="00943974"/>
    <w:rsid w:val="00943A73"/>
    <w:rsid w:val="00947966"/>
    <w:rsid w:val="00947B86"/>
    <w:rsid w:val="009505C9"/>
    <w:rsid w:val="00952A3D"/>
    <w:rsid w:val="00954813"/>
    <w:rsid w:val="00972C40"/>
    <w:rsid w:val="00973AAD"/>
    <w:rsid w:val="00977B10"/>
    <w:rsid w:val="00981F9F"/>
    <w:rsid w:val="0098393C"/>
    <w:rsid w:val="009921C1"/>
    <w:rsid w:val="00992F8B"/>
    <w:rsid w:val="00997C9F"/>
    <w:rsid w:val="009A07DF"/>
    <w:rsid w:val="009A265D"/>
    <w:rsid w:val="009A4F8C"/>
    <w:rsid w:val="009B32E7"/>
    <w:rsid w:val="009B3866"/>
    <w:rsid w:val="009B3BA1"/>
    <w:rsid w:val="009B5887"/>
    <w:rsid w:val="009B5CA2"/>
    <w:rsid w:val="009C012D"/>
    <w:rsid w:val="009C11E3"/>
    <w:rsid w:val="009C4256"/>
    <w:rsid w:val="009D374F"/>
    <w:rsid w:val="009E4095"/>
    <w:rsid w:val="009E7BC3"/>
    <w:rsid w:val="009F2331"/>
    <w:rsid w:val="009F2DE3"/>
    <w:rsid w:val="009F7DF6"/>
    <w:rsid w:val="009F7E08"/>
    <w:rsid w:val="00A04D4E"/>
    <w:rsid w:val="00A063DB"/>
    <w:rsid w:val="00A064F5"/>
    <w:rsid w:val="00A065EE"/>
    <w:rsid w:val="00A10FAA"/>
    <w:rsid w:val="00A12284"/>
    <w:rsid w:val="00A12F72"/>
    <w:rsid w:val="00A13499"/>
    <w:rsid w:val="00A1764A"/>
    <w:rsid w:val="00A204EA"/>
    <w:rsid w:val="00A21508"/>
    <w:rsid w:val="00A217F4"/>
    <w:rsid w:val="00A222D5"/>
    <w:rsid w:val="00A31385"/>
    <w:rsid w:val="00A32C7E"/>
    <w:rsid w:val="00A35025"/>
    <w:rsid w:val="00A37C7F"/>
    <w:rsid w:val="00A4071E"/>
    <w:rsid w:val="00A441FE"/>
    <w:rsid w:val="00A47038"/>
    <w:rsid w:val="00A526A4"/>
    <w:rsid w:val="00A53442"/>
    <w:rsid w:val="00A55A12"/>
    <w:rsid w:val="00A5669F"/>
    <w:rsid w:val="00A60C49"/>
    <w:rsid w:val="00A8536E"/>
    <w:rsid w:val="00A9220D"/>
    <w:rsid w:val="00AA1ACE"/>
    <w:rsid w:val="00AA2BFE"/>
    <w:rsid w:val="00AA38D6"/>
    <w:rsid w:val="00AA5A87"/>
    <w:rsid w:val="00AB1E39"/>
    <w:rsid w:val="00AB2ACE"/>
    <w:rsid w:val="00AC2092"/>
    <w:rsid w:val="00AC5B89"/>
    <w:rsid w:val="00AC6F3D"/>
    <w:rsid w:val="00AD74D7"/>
    <w:rsid w:val="00AE62AE"/>
    <w:rsid w:val="00AE6D31"/>
    <w:rsid w:val="00AF051F"/>
    <w:rsid w:val="00B01964"/>
    <w:rsid w:val="00B02B18"/>
    <w:rsid w:val="00B074F5"/>
    <w:rsid w:val="00B07DAD"/>
    <w:rsid w:val="00B114FD"/>
    <w:rsid w:val="00B12ED8"/>
    <w:rsid w:val="00B144AC"/>
    <w:rsid w:val="00B14E21"/>
    <w:rsid w:val="00B14E42"/>
    <w:rsid w:val="00B14E96"/>
    <w:rsid w:val="00B1561D"/>
    <w:rsid w:val="00B211A4"/>
    <w:rsid w:val="00B30BB9"/>
    <w:rsid w:val="00B3378B"/>
    <w:rsid w:val="00B3419D"/>
    <w:rsid w:val="00B35C17"/>
    <w:rsid w:val="00B412FB"/>
    <w:rsid w:val="00B47105"/>
    <w:rsid w:val="00B54161"/>
    <w:rsid w:val="00B5483C"/>
    <w:rsid w:val="00B60127"/>
    <w:rsid w:val="00B64D6D"/>
    <w:rsid w:val="00B6647B"/>
    <w:rsid w:val="00B6728B"/>
    <w:rsid w:val="00B67566"/>
    <w:rsid w:val="00B71B25"/>
    <w:rsid w:val="00B7393F"/>
    <w:rsid w:val="00B759E8"/>
    <w:rsid w:val="00B826E3"/>
    <w:rsid w:val="00B8795B"/>
    <w:rsid w:val="00B94657"/>
    <w:rsid w:val="00B9709C"/>
    <w:rsid w:val="00BA32D6"/>
    <w:rsid w:val="00BA6AB1"/>
    <w:rsid w:val="00BB066B"/>
    <w:rsid w:val="00BB2886"/>
    <w:rsid w:val="00BB5DCE"/>
    <w:rsid w:val="00BC1378"/>
    <w:rsid w:val="00BC4C25"/>
    <w:rsid w:val="00BC704A"/>
    <w:rsid w:val="00BC7DFB"/>
    <w:rsid w:val="00BD02A4"/>
    <w:rsid w:val="00BD100A"/>
    <w:rsid w:val="00BD7740"/>
    <w:rsid w:val="00BE15EA"/>
    <w:rsid w:val="00BE66C1"/>
    <w:rsid w:val="00BF2D90"/>
    <w:rsid w:val="00BF3812"/>
    <w:rsid w:val="00BF3B1E"/>
    <w:rsid w:val="00C01FBE"/>
    <w:rsid w:val="00C02196"/>
    <w:rsid w:val="00C055D5"/>
    <w:rsid w:val="00C07543"/>
    <w:rsid w:val="00C07686"/>
    <w:rsid w:val="00C07B95"/>
    <w:rsid w:val="00C07DA9"/>
    <w:rsid w:val="00C10944"/>
    <w:rsid w:val="00C11103"/>
    <w:rsid w:val="00C14C24"/>
    <w:rsid w:val="00C26CDF"/>
    <w:rsid w:val="00C26E07"/>
    <w:rsid w:val="00C336D4"/>
    <w:rsid w:val="00C408AE"/>
    <w:rsid w:val="00C423CE"/>
    <w:rsid w:val="00C44E40"/>
    <w:rsid w:val="00C45347"/>
    <w:rsid w:val="00C473EA"/>
    <w:rsid w:val="00C53291"/>
    <w:rsid w:val="00C53459"/>
    <w:rsid w:val="00C53DE9"/>
    <w:rsid w:val="00C55219"/>
    <w:rsid w:val="00C62EE9"/>
    <w:rsid w:val="00C755CB"/>
    <w:rsid w:val="00C75B27"/>
    <w:rsid w:val="00C7759B"/>
    <w:rsid w:val="00C8243B"/>
    <w:rsid w:val="00C8670F"/>
    <w:rsid w:val="00C86A12"/>
    <w:rsid w:val="00C91DCC"/>
    <w:rsid w:val="00C94BF6"/>
    <w:rsid w:val="00C973ED"/>
    <w:rsid w:val="00CA4375"/>
    <w:rsid w:val="00CB3B29"/>
    <w:rsid w:val="00CB42B9"/>
    <w:rsid w:val="00CC0B51"/>
    <w:rsid w:val="00CC5159"/>
    <w:rsid w:val="00CD1148"/>
    <w:rsid w:val="00CD4229"/>
    <w:rsid w:val="00CD7F0A"/>
    <w:rsid w:val="00CE03B7"/>
    <w:rsid w:val="00CE5ABA"/>
    <w:rsid w:val="00CE63A9"/>
    <w:rsid w:val="00CE63B6"/>
    <w:rsid w:val="00CE6BCF"/>
    <w:rsid w:val="00CE72FB"/>
    <w:rsid w:val="00CF2A58"/>
    <w:rsid w:val="00CF4FB9"/>
    <w:rsid w:val="00D04171"/>
    <w:rsid w:val="00D05321"/>
    <w:rsid w:val="00D129F7"/>
    <w:rsid w:val="00D13B08"/>
    <w:rsid w:val="00D13BA5"/>
    <w:rsid w:val="00D15563"/>
    <w:rsid w:val="00D20B8B"/>
    <w:rsid w:val="00D30BA0"/>
    <w:rsid w:val="00D4051C"/>
    <w:rsid w:val="00D413EF"/>
    <w:rsid w:val="00D416A3"/>
    <w:rsid w:val="00D47CC1"/>
    <w:rsid w:val="00D53AF9"/>
    <w:rsid w:val="00D55AAF"/>
    <w:rsid w:val="00D63309"/>
    <w:rsid w:val="00D64326"/>
    <w:rsid w:val="00D643A0"/>
    <w:rsid w:val="00D71348"/>
    <w:rsid w:val="00D7171C"/>
    <w:rsid w:val="00D737DA"/>
    <w:rsid w:val="00D9230D"/>
    <w:rsid w:val="00D9308A"/>
    <w:rsid w:val="00D9568F"/>
    <w:rsid w:val="00DA0AC2"/>
    <w:rsid w:val="00DA2617"/>
    <w:rsid w:val="00DA357F"/>
    <w:rsid w:val="00DA49EF"/>
    <w:rsid w:val="00DB18C9"/>
    <w:rsid w:val="00DB3A8C"/>
    <w:rsid w:val="00DB4194"/>
    <w:rsid w:val="00DB7CDE"/>
    <w:rsid w:val="00DC0C7E"/>
    <w:rsid w:val="00DC2AA7"/>
    <w:rsid w:val="00DC5B67"/>
    <w:rsid w:val="00DC7022"/>
    <w:rsid w:val="00DD2031"/>
    <w:rsid w:val="00DD6B93"/>
    <w:rsid w:val="00DE42DC"/>
    <w:rsid w:val="00DE45D2"/>
    <w:rsid w:val="00DF4FAF"/>
    <w:rsid w:val="00DF67BC"/>
    <w:rsid w:val="00DF6CF5"/>
    <w:rsid w:val="00DF70A4"/>
    <w:rsid w:val="00E046DB"/>
    <w:rsid w:val="00E107E8"/>
    <w:rsid w:val="00E141CB"/>
    <w:rsid w:val="00E21303"/>
    <w:rsid w:val="00E21387"/>
    <w:rsid w:val="00E22848"/>
    <w:rsid w:val="00E3149D"/>
    <w:rsid w:val="00E31DA8"/>
    <w:rsid w:val="00E32D37"/>
    <w:rsid w:val="00E33CB0"/>
    <w:rsid w:val="00E42931"/>
    <w:rsid w:val="00E450D6"/>
    <w:rsid w:val="00E454AD"/>
    <w:rsid w:val="00E45537"/>
    <w:rsid w:val="00E46A21"/>
    <w:rsid w:val="00E47505"/>
    <w:rsid w:val="00E478E1"/>
    <w:rsid w:val="00E522C1"/>
    <w:rsid w:val="00E52BE5"/>
    <w:rsid w:val="00E54BA5"/>
    <w:rsid w:val="00E632BF"/>
    <w:rsid w:val="00E67922"/>
    <w:rsid w:val="00E80491"/>
    <w:rsid w:val="00E82485"/>
    <w:rsid w:val="00E82D01"/>
    <w:rsid w:val="00E845DE"/>
    <w:rsid w:val="00E84904"/>
    <w:rsid w:val="00E85671"/>
    <w:rsid w:val="00E85A5D"/>
    <w:rsid w:val="00E9377B"/>
    <w:rsid w:val="00EA0EF3"/>
    <w:rsid w:val="00EA0F6C"/>
    <w:rsid w:val="00EA27C2"/>
    <w:rsid w:val="00EA2E2F"/>
    <w:rsid w:val="00EA42F6"/>
    <w:rsid w:val="00EA61CF"/>
    <w:rsid w:val="00EA72FE"/>
    <w:rsid w:val="00EA7D0F"/>
    <w:rsid w:val="00EB2CA1"/>
    <w:rsid w:val="00EB41E3"/>
    <w:rsid w:val="00EB541C"/>
    <w:rsid w:val="00EC1B96"/>
    <w:rsid w:val="00EC5564"/>
    <w:rsid w:val="00ED30A7"/>
    <w:rsid w:val="00ED4106"/>
    <w:rsid w:val="00EE60FC"/>
    <w:rsid w:val="00EE6D93"/>
    <w:rsid w:val="00EF212C"/>
    <w:rsid w:val="00EF4809"/>
    <w:rsid w:val="00EF6210"/>
    <w:rsid w:val="00F013BD"/>
    <w:rsid w:val="00F01D0F"/>
    <w:rsid w:val="00F035F9"/>
    <w:rsid w:val="00F05B72"/>
    <w:rsid w:val="00F1277C"/>
    <w:rsid w:val="00F12FFD"/>
    <w:rsid w:val="00F217B6"/>
    <w:rsid w:val="00F24D28"/>
    <w:rsid w:val="00F26E6D"/>
    <w:rsid w:val="00F30CBE"/>
    <w:rsid w:val="00F47F09"/>
    <w:rsid w:val="00F54B4E"/>
    <w:rsid w:val="00F55C5D"/>
    <w:rsid w:val="00F67D9B"/>
    <w:rsid w:val="00F7356C"/>
    <w:rsid w:val="00F76626"/>
    <w:rsid w:val="00F80B64"/>
    <w:rsid w:val="00F87D6E"/>
    <w:rsid w:val="00F87DB2"/>
    <w:rsid w:val="00F903F1"/>
    <w:rsid w:val="00F91CE9"/>
    <w:rsid w:val="00F93D62"/>
    <w:rsid w:val="00F95F30"/>
    <w:rsid w:val="00F97EA7"/>
    <w:rsid w:val="00FA0763"/>
    <w:rsid w:val="00FA0C5E"/>
    <w:rsid w:val="00FA267C"/>
    <w:rsid w:val="00FB0C82"/>
    <w:rsid w:val="00FB522F"/>
    <w:rsid w:val="00FB571A"/>
    <w:rsid w:val="00FC1A04"/>
    <w:rsid w:val="00FC1D1B"/>
    <w:rsid w:val="00FC3086"/>
    <w:rsid w:val="00FC39FC"/>
    <w:rsid w:val="00FC64F6"/>
    <w:rsid w:val="00FC77D0"/>
    <w:rsid w:val="00FD623A"/>
    <w:rsid w:val="00FD6D06"/>
    <w:rsid w:val="00FF25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7697" strokecolor="#54628d">
      <v:stroke color="#54628d" weight="1.5pt"/>
      <o:colormru v:ext="edit" colors="#e2aa1e"/>
    </o:shapedefaults>
    <o:shapelayout v:ext="edit">
      <o:idmap v:ext="edit" data="1"/>
    </o:shapelayout>
  </w:shapeDefaults>
  <w:decimalSymbol w:val=","/>
  <w:listSeparator w:val=";"/>
  <w15:docId w15:val="{0F2F46A5-D3B1-4D20-A260-8513E82F3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07E8"/>
    <w:rPr>
      <w:rFonts w:ascii="Times New Roman" w:eastAsia="Times New Roman" w:hAnsi="Times New Roman"/>
      <w:sz w:val="24"/>
      <w:szCs w:val="24"/>
      <w:lang w:eastAsia="en-US"/>
    </w:rPr>
  </w:style>
  <w:style w:type="paragraph" w:styleId="Nagwek1">
    <w:name w:val="heading 1"/>
    <w:basedOn w:val="Normalny"/>
    <w:next w:val="Normalny"/>
    <w:qFormat/>
    <w:rsid w:val="00E107E8"/>
    <w:pPr>
      <w:keepNext/>
      <w:ind w:left="90"/>
      <w:jc w:val="both"/>
      <w:outlineLvl w:val="0"/>
    </w:pPr>
    <w:rPr>
      <w:b/>
      <w:bCs/>
      <w:lang w:eastAsia="pl-PL"/>
    </w:rPr>
  </w:style>
  <w:style w:type="paragraph" w:styleId="Nagwek2">
    <w:name w:val="heading 2"/>
    <w:basedOn w:val="Normalny"/>
    <w:next w:val="Normalny"/>
    <w:qFormat/>
    <w:rsid w:val="00E107E8"/>
    <w:pPr>
      <w:keepNext/>
      <w:jc w:val="center"/>
      <w:outlineLvl w:val="1"/>
    </w:pPr>
    <w:rPr>
      <w:rFonts w:ascii="Lucida Sans Unicode" w:hAnsi="Lucida Sans Unicode" w:cs="Lucida Sans Unicode"/>
      <w:b/>
      <w:sz w:val="20"/>
      <w:szCs w:val="20"/>
      <w:lang w:val="en-US" w:eastAsia="pl-PL"/>
    </w:rPr>
  </w:style>
  <w:style w:type="paragraph" w:styleId="Nagwek3">
    <w:name w:val="heading 3"/>
    <w:basedOn w:val="Normalny"/>
    <w:next w:val="Normalny"/>
    <w:qFormat/>
    <w:rsid w:val="00E107E8"/>
    <w:pPr>
      <w:keepNext/>
      <w:spacing w:before="480" w:after="240"/>
      <w:jc w:val="center"/>
      <w:outlineLvl w:val="2"/>
    </w:pPr>
    <w:rPr>
      <w:rFonts w:ascii="Calibri" w:hAnsi="Calibri" w:cs="Arial"/>
      <w:color w:val="000080"/>
      <w:sz w:val="32"/>
      <w:szCs w:val="32"/>
    </w:rPr>
  </w:style>
  <w:style w:type="paragraph" w:styleId="Nagwek4">
    <w:name w:val="heading 4"/>
    <w:basedOn w:val="Normalny"/>
    <w:next w:val="Normalny"/>
    <w:qFormat/>
    <w:rsid w:val="00E107E8"/>
    <w:pPr>
      <w:keepNext/>
      <w:outlineLvl w:val="3"/>
    </w:pPr>
    <w:rPr>
      <w:rFonts w:ascii="Arial" w:hAnsi="Arial" w:cs="Arial"/>
      <w:b/>
      <w:bCs/>
      <w:sz w:val="22"/>
      <w:szCs w:val="22"/>
      <w:lang w:eastAsia="pl-PL"/>
    </w:rPr>
  </w:style>
  <w:style w:type="paragraph" w:styleId="Nagwek5">
    <w:name w:val="heading 5"/>
    <w:basedOn w:val="Normalny"/>
    <w:next w:val="Normalny"/>
    <w:qFormat/>
    <w:rsid w:val="00E107E8"/>
    <w:pPr>
      <w:keepNext/>
      <w:autoSpaceDE w:val="0"/>
      <w:autoSpaceDN w:val="0"/>
      <w:adjustRightInd w:val="0"/>
      <w:jc w:val="center"/>
      <w:outlineLvl w:val="4"/>
    </w:pPr>
    <w:rPr>
      <w:rFonts w:ascii="Arial" w:eastAsia="Arial Unicode MS" w:hAnsi="Arial" w:cs="Arial"/>
      <w:b/>
      <w:bCs/>
      <w:color w:val="54628D"/>
      <w:sz w:val="28"/>
      <w:szCs w:val="17"/>
    </w:rPr>
  </w:style>
  <w:style w:type="paragraph" w:styleId="Nagwek6">
    <w:name w:val="heading 6"/>
    <w:basedOn w:val="Normalny"/>
    <w:next w:val="Normalny"/>
    <w:qFormat/>
    <w:rsid w:val="00E107E8"/>
    <w:pPr>
      <w:keepNext/>
      <w:jc w:val="both"/>
      <w:outlineLvl w:val="5"/>
    </w:pPr>
    <w:rPr>
      <w:rFonts w:ascii="Tahoma" w:hAnsi="Tahoma" w:cs="Tahoma"/>
      <w:b/>
      <w:bCs/>
      <w:iCs/>
      <w:sz w:val="16"/>
    </w:rPr>
  </w:style>
  <w:style w:type="paragraph" w:styleId="Nagwek7">
    <w:name w:val="heading 7"/>
    <w:basedOn w:val="Normalny"/>
    <w:next w:val="Normalny"/>
    <w:qFormat/>
    <w:rsid w:val="00E107E8"/>
    <w:pPr>
      <w:keepNext/>
      <w:jc w:val="both"/>
      <w:outlineLvl w:val="6"/>
    </w:pPr>
    <w:rPr>
      <w:rFonts w:ascii="Calibri" w:hAnsi="Calibri"/>
      <w:b/>
      <w:bCs/>
      <w:sz w:val="20"/>
      <w:lang w:eastAsia="pl-PL"/>
    </w:rPr>
  </w:style>
  <w:style w:type="paragraph" w:styleId="Nagwek8">
    <w:name w:val="heading 8"/>
    <w:basedOn w:val="Normalny"/>
    <w:next w:val="Normalny"/>
    <w:qFormat/>
    <w:rsid w:val="00E107E8"/>
    <w:pPr>
      <w:keepNext/>
      <w:jc w:val="both"/>
      <w:outlineLvl w:val="7"/>
    </w:pPr>
    <w:rPr>
      <w:rFonts w:ascii="Calibri" w:hAnsi="Calibri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nhideWhenUsed/>
    <w:rsid w:val="00E107E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</w:rPr>
  </w:style>
  <w:style w:type="character" w:customStyle="1" w:styleId="NagwekZnak">
    <w:name w:val="Nagłówek Znak"/>
    <w:basedOn w:val="Domylnaczcionkaakapitu"/>
    <w:semiHidden/>
    <w:rsid w:val="00E107E8"/>
  </w:style>
  <w:style w:type="paragraph" w:styleId="Stopka">
    <w:name w:val="footer"/>
    <w:basedOn w:val="Normalny"/>
    <w:unhideWhenUsed/>
    <w:rsid w:val="00E107E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basedOn w:val="Domylnaczcionkaakapitu"/>
    <w:rsid w:val="00E107E8"/>
  </w:style>
  <w:style w:type="paragraph" w:styleId="Tekstdymka">
    <w:name w:val="Balloon Text"/>
    <w:basedOn w:val="Normalny"/>
    <w:semiHidden/>
    <w:unhideWhenUsed/>
    <w:rsid w:val="00E107E8"/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semiHidden/>
    <w:rsid w:val="00E107E8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rsid w:val="00E107E8"/>
    <w:rPr>
      <w:rFonts w:ascii="Lucida Sans Unicode" w:eastAsia="Times New Roman" w:hAnsi="Lucida Sans Unicode" w:cs="Lucida Sans Unicode"/>
      <w:b/>
      <w:sz w:val="20"/>
      <w:szCs w:val="20"/>
      <w:lang w:val="en-US" w:eastAsia="pl-PL"/>
    </w:rPr>
  </w:style>
  <w:style w:type="character" w:styleId="Hipercze">
    <w:name w:val="Hyperlink"/>
    <w:uiPriority w:val="99"/>
    <w:unhideWhenUsed/>
    <w:rsid w:val="00E107E8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E107E8"/>
    <w:pPr>
      <w:jc w:val="both"/>
    </w:pPr>
    <w:rPr>
      <w:b/>
      <w:bCs/>
      <w:szCs w:val="20"/>
    </w:rPr>
  </w:style>
  <w:style w:type="paragraph" w:styleId="Tekstpodstawowy2">
    <w:name w:val="Body Text 2"/>
    <w:basedOn w:val="Normalny"/>
    <w:semiHidden/>
    <w:rsid w:val="00E107E8"/>
    <w:pPr>
      <w:jc w:val="right"/>
    </w:pPr>
    <w:rPr>
      <w:rFonts w:ascii="Arial" w:hAnsi="Arial" w:cs="Arial"/>
      <w:sz w:val="20"/>
      <w:szCs w:val="20"/>
      <w:lang w:eastAsia="pl-PL"/>
    </w:rPr>
  </w:style>
  <w:style w:type="paragraph" w:customStyle="1" w:styleId="aboutus">
    <w:name w:val="aboutus"/>
    <w:basedOn w:val="Normalny"/>
    <w:rsid w:val="00E107E8"/>
    <w:pPr>
      <w:spacing w:before="120" w:after="120" w:line="210" w:lineRule="atLeast"/>
      <w:ind w:left="150" w:right="150"/>
      <w:jc w:val="both"/>
    </w:pPr>
    <w:rPr>
      <w:rFonts w:ascii="Arial" w:eastAsia="Arial Unicode MS" w:hAnsi="Arial" w:cs="Arial"/>
      <w:b/>
      <w:bCs/>
      <w:color w:val="333399"/>
      <w:sz w:val="17"/>
      <w:szCs w:val="17"/>
      <w:lang w:eastAsia="pl-PL"/>
    </w:rPr>
  </w:style>
  <w:style w:type="paragraph" w:styleId="Tekstpodstawowy3">
    <w:name w:val="Body Text 3"/>
    <w:basedOn w:val="Normalny"/>
    <w:semiHidden/>
    <w:rsid w:val="00E107E8"/>
    <w:pPr>
      <w:autoSpaceDE w:val="0"/>
      <w:autoSpaceDN w:val="0"/>
      <w:adjustRightInd w:val="0"/>
      <w:jc w:val="both"/>
    </w:pPr>
    <w:rPr>
      <w:rFonts w:ascii="Calibri" w:eastAsia="Arial Unicode MS" w:hAnsi="Calibri" w:cs="Arial"/>
      <w:b/>
      <w:bCs/>
      <w:color w:val="54628D"/>
      <w:sz w:val="16"/>
      <w:szCs w:val="17"/>
    </w:rPr>
  </w:style>
  <w:style w:type="character" w:styleId="Odwoaniedokomentarza">
    <w:name w:val="annotation reference"/>
    <w:semiHidden/>
    <w:rsid w:val="00E107E8"/>
    <w:rPr>
      <w:sz w:val="16"/>
      <w:szCs w:val="16"/>
    </w:rPr>
  </w:style>
  <w:style w:type="paragraph" w:styleId="Tekstkomentarza">
    <w:name w:val="annotation text"/>
    <w:basedOn w:val="Normalny"/>
    <w:semiHidden/>
    <w:rsid w:val="00E10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107E8"/>
    <w:rPr>
      <w:b/>
      <w:bCs/>
    </w:rPr>
  </w:style>
  <w:style w:type="paragraph" w:customStyle="1" w:styleId="Default">
    <w:name w:val="Default"/>
    <w:rsid w:val="00E107E8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ytu">
    <w:name w:val="Title"/>
    <w:basedOn w:val="Normalny"/>
    <w:link w:val="TytuZnak"/>
    <w:qFormat/>
    <w:rsid w:val="006B089C"/>
    <w:pPr>
      <w:jc w:val="center"/>
    </w:pPr>
    <w:rPr>
      <w:b/>
      <w:color w:val="333399"/>
      <w:sz w:val="28"/>
      <w:szCs w:val="28"/>
    </w:rPr>
  </w:style>
  <w:style w:type="character" w:customStyle="1" w:styleId="TytuZnak">
    <w:name w:val="Tytuł Znak"/>
    <w:link w:val="Tytu"/>
    <w:rsid w:val="006B089C"/>
    <w:rPr>
      <w:rFonts w:ascii="Times New Roman" w:eastAsia="Times New Roman" w:hAnsi="Times New Roman"/>
      <w:b/>
      <w:color w:val="333399"/>
      <w:sz w:val="28"/>
      <w:szCs w:val="28"/>
    </w:rPr>
  </w:style>
  <w:style w:type="paragraph" w:styleId="Bezodstpw">
    <w:name w:val="No Spacing"/>
    <w:uiPriority w:val="1"/>
    <w:qFormat/>
    <w:rsid w:val="00EA27C2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0F5029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link w:val="Tekstpodstawowy"/>
    <w:semiHidden/>
    <w:rsid w:val="000F5029"/>
    <w:rPr>
      <w:rFonts w:ascii="Times New Roman" w:eastAsia="Times New Roman" w:hAnsi="Times New Roman"/>
      <w:b/>
      <w:bCs/>
      <w:sz w:val="24"/>
    </w:rPr>
  </w:style>
  <w:style w:type="character" w:styleId="UyteHipercze">
    <w:name w:val="FollowedHyperlink"/>
    <w:uiPriority w:val="99"/>
    <w:semiHidden/>
    <w:unhideWhenUsed/>
    <w:rsid w:val="0048505B"/>
    <w:rPr>
      <w:color w:val="800080"/>
      <w:u w:val="single"/>
    </w:rPr>
  </w:style>
  <w:style w:type="paragraph" w:styleId="Akapitzlist">
    <w:name w:val="List Paragraph"/>
    <w:basedOn w:val="Normalny"/>
    <w:uiPriority w:val="34"/>
    <w:qFormat/>
    <w:rsid w:val="00CB3B2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12FF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12FFD"/>
    <w:rPr>
      <w:rFonts w:ascii="Times New Roman" w:eastAsia="Times New Roman" w:hAnsi="Times New Roman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12FFD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8E2F0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omylnaczcionkaakapitu"/>
    <w:rsid w:val="0000005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29F7"/>
    <w:rPr>
      <w:rFonts w:ascii="Calibri" w:hAnsi="Calibri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29F7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129F7"/>
    <w:rPr>
      <w:vertAlign w:val="superscript"/>
    </w:rPr>
  </w:style>
  <w:style w:type="table" w:customStyle="1" w:styleId="Tabelasiatki4akcent21">
    <w:name w:val="Tabela siatki 4 — akcent 21"/>
    <w:basedOn w:val="Standardowy"/>
    <w:uiPriority w:val="49"/>
    <w:rsid w:val="00EA2E2F"/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nil"/>
          <w:insideV w:val="nil"/>
        </w:tcBorders>
        <w:shd w:val="clear" w:color="auto" w:fill="ED7D31"/>
      </w:tcPr>
    </w:tblStylePr>
    <w:tblStylePr w:type="lastRow">
      <w:rPr>
        <w:b/>
        <w:bCs/>
      </w:rPr>
      <w:tblPr/>
      <w:tcPr>
        <w:tcBorders>
          <w:top w:val="double" w:sz="4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Jasnasiatkaakcent11">
    <w:name w:val="Jasna siatka — akcent 11"/>
    <w:basedOn w:val="Standardowy"/>
    <w:uiPriority w:val="62"/>
    <w:rsid w:val="00AB2ACE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5300"/>
        <w:left w:val="single" w:sz="8" w:space="0" w:color="FF5300"/>
        <w:bottom w:val="single" w:sz="8" w:space="0" w:color="FF5300"/>
        <w:right w:val="single" w:sz="8" w:space="0" w:color="FF5300"/>
        <w:insideH w:val="single" w:sz="8" w:space="0" w:color="FF5300"/>
        <w:insideV w:val="single" w:sz="8" w:space="0" w:color="FF53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1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F5300"/>
          <w:left w:val="single" w:sz="8" w:space="0" w:color="FF5300"/>
          <w:bottom w:val="single" w:sz="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</w:tcPr>
    </w:tblStylePr>
    <w:tblStylePr w:type="band1Vert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  <w:shd w:val="clear" w:color="auto" w:fill="FFD4C0"/>
      </w:tcPr>
    </w:tblStylePr>
    <w:tblStylePr w:type="band1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  <w:shd w:val="clear" w:color="auto" w:fill="FFD4C0"/>
      </w:tcPr>
    </w:tblStylePr>
    <w:tblStylePr w:type="band2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</w:tcPr>
    </w:tblStylePr>
  </w:style>
  <w:style w:type="table" w:customStyle="1" w:styleId="Jasnasiatkaakcent111">
    <w:name w:val="Jasna siatka — akcent 111"/>
    <w:basedOn w:val="Standardowy"/>
    <w:uiPriority w:val="62"/>
    <w:rsid w:val="00AB2ACE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5300"/>
        <w:left w:val="single" w:sz="8" w:space="0" w:color="FF5300"/>
        <w:bottom w:val="single" w:sz="8" w:space="0" w:color="FF5300"/>
        <w:right w:val="single" w:sz="8" w:space="0" w:color="FF5300"/>
        <w:insideH w:val="single" w:sz="8" w:space="0" w:color="FF5300"/>
        <w:insideV w:val="single" w:sz="8" w:space="0" w:color="FF53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1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F5300"/>
          <w:left w:val="single" w:sz="8" w:space="0" w:color="FF5300"/>
          <w:bottom w:val="single" w:sz="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</w:tcPr>
    </w:tblStylePr>
    <w:tblStylePr w:type="band1Vert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  <w:shd w:val="clear" w:color="auto" w:fill="FFD4C0"/>
      </w:tcPr>
    </w:tblStylePr>
    <w:tblStylePr w:type="band1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  <w:shd w:val="clear" w:color="auto" w:fill="FFD4C0"/>
      </w:tcPr>
    </w:tblStylePr>
    <w:tblStylePr w:type="band2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</w:tcPr>
    </w:tblStylePr>
  </w:style>
  <w:style w:type="table" w:customStyle="1" w:styleId="Jasnasiatkaakcent112">
    <w:name w:val="Jasna siatka — akcent 112"/>
    <w:basedOn w:val="Standardowy"/>
    <w:uiPriority w:val="62"/>
    <w:rsid w:val="00AB2ACE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5300"/>
        <w:left w:val="single" w:sz="8" w:space="0" w:color="FF5300"/>
        <w:bottom w:val="single" w:sz="8" w:space="0" w:color="FF5300"/>
        <w:right w:val="single" w:sz="8" w:space="0" w:color="FF5300"/>
        <w:insideH w:val="single" w:sz="8" w:space="0" w:color="FF5300"/>
        <w:insideV w:val="single" w:sz="8" w:space="0" w:color="FF53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1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F5300"/>
          <w:left w:val="single" w:sz="8" w:space="0" w:color="FF5300"/>
          <w:bottom w:val="single" w:sz="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</w:tcPr>
    </w:tblStylePr>
    <w:tblStylePr w:type="band1Vert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  <w:shd w:val="clear" w:color="auto" w:fill="FFD4C0"/>
      </w:tcPr>
    </w:tblStylePr>
    <w:tblStylePr w:type="band1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  <w:shd w:val="clear" w:color="auto" w:fill="FFD4C0"/>
      </w:tcPr>
    </w:tblStylePr>
    <w:tblStylePr w:type="band2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</w:tcPr>
    </w:tblStylePr>
  </w:style>
  <w:style w:type="table" w:customStyle="1" w:styleId="Tabela-Siatka2">
    <w:name w:val="Tabela - Siatka2"/>
    <w:basedOn w:val="Standardowy"/>
    <w:next w:val="Tabela-Siatka"/>
    <w:uiPriority w:val="39"/>
    <w:rsid w:val="00E3149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DB3A8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F54B4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C53DE9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uSedlak">
    <w:name w:val="TytułSedlak"/>
    <w:basedOn w:val="Normalny"/>
    <w:link w:val="TytuSedlakZnak"/>
    <w:qFormat/>
    <w:rsid w:val="00704253"/>
    <w:pPr>
      <w:spacing w:line="276" w:lineRule="auto"/>
      <w:jc w:val="center"/>
      <w:outlineLvl w:val="0"/>
    </w:pPr>
    <w:rPr>
      <w:rFonts w:asciiTheme="minorHAnsi" w:hAnsiTheme="minorHAnsi"/>
      <w:b/>
      <w:bCs/>
      <w:color w:val="002060"/>
      <w:kern w:val="36"/>
      <w:sz w:val="32"/>
      <w:szCs w:val="32"/>
      <w:lang w:eastAsia="en-AU"/>
    </w:rPr>
  </w:style>
  <w:style w:type="character" w:customStyle="1" w:styleId="TytuSedlakZnak">
    <w:name w:val="TytułSedlak Znak"/>
    <w:basedOn w:val="Domylnaczcionkaakapitu"/>
    <w:link w:val="TytuSedlak"/>
    <w:rsid w:val="00704253"/>
    <w:rPr>
      <w:rFonts w:asciiTheme="minorHAnsi" w:eastAsia="Times New Roman" w:hAnsiTheme="minorHAnsi"/>
      <w:b/>
      <w:bCs/>
      <w:color w:val="002060"/>
      <w:kern w:val="36"/>
      <w:sz w:val="32"/>
      <w:szCs w:val="32"/>
      <w:lang w:eastAsia="en-AU"/>
    </w:rPr>
  </w:style>
  <w:style w:type="paragraph" w:customStyle="1" w:styleId="tekstsedlak">
    <w:name w:val="tekstsedlak"/>
    <w:basedOn w:val="Normalny"/>
    <w:link w:val="tekstsedlakZnak"/>
    <w:qFormat/>
    <w:rsid w:val="00704253"/>
    <w:pPr>
      <w:spacing w:before="240" w:after="240" w:line="276" w:lineRule="auto"/>
      <w:jc w:val="both"/>
    </w:pPr>
    <w:rPr>
      <w:rFonts w:asciiTheme="minorHAnsi" w:eastAsiaTheme="minorEastAsia" w:hAnsiTheme="minorHAnsi" w:cs="Arial"/>
      <w:lang w:eastAsia="pl-PL"/>
    </w:rPr>
  </w:style>
  <w:style w:type="character" w:customStyle="1" w:styleId="tekstsedlakZnak">
    <w:name w:val="tekstsedlak Znak"/>
    <w:basedOn w:val="Domylnaczcionkaakapitu"/>
    <w:link w:val="tekstsedlak"/>
    <w:rsid w:val="00704253"/>
    <w:rPr>
      <w:rFonts w:asciiTheme="minorHAnsi" w:eastAsiaTheme="minorEastAsia" w:hAnsiTheme="minorHAnsi" w:cs="Arial"/>
      <w:sz w:val="24"/>
      <w:szCs w:val="24"/>
    </w:rPr>
  </w:style>
  <w:style w:type="paragraph" w:customStyle="1" w:styleId="wykressedlak">
    <w:name w:val="wykressedlak"/>
    <w:basedOn w:val="Normalny"/>
    <w:link w:val="wykressedlakZnak"/>
    <w:qFormat/>
    <w:rsid w:val="00704253"/>
    <w:pPr>
      <w:spacing w:line="276" w:lineRule="auto"/>
      <w:jc w:val="center"/>
    </w:pPr>
    <w:rPr>
      <w:rFonts w:asciiTheme="minorHAnsi" w:eastAsiaTheme="minorEastAsia" w:hAnsiTheme="minorHAnsi" w:cstheme="minorBidi"/>
      <w:b/>
      <w:color w:val="002060"/>
      <w:szCs w:val="22"/>
      <w:lang w:eastAsia="pl-PL"/>
    </w:rPr>
  </w:style>
  <w:style w:type="character" w:customStyle="1" w:styleId="wykressedlakZnak">
    <w:name w:val="wykressedlak Znak"/>
    <w:basedOn w:val="Domylnaczcionkaakapitu"/>
    <w:link w:val="wykressedlak"/>
    <w:rsid w:val="00704253"/>
    <w:rPr>
      <w:rFonts w:asciiTheme="minorHAnsi" w:eastAsiaTheme="minorEastAsia" w:hAnsiTheme="minorHAnsi" w:cstheme="minorBidi"/>
      <w:b/>
      <w:color w:val="00206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9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12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49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14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3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88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64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5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7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2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79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76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05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77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3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1508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7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8050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17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01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48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51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17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21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0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13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4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4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94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8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48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20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1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40257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0212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8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4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74327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361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828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16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04678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352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88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12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16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33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6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800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53972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85676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95520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0174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0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80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8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73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98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40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97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73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19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42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3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5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4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76067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5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82461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27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29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51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6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620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67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51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23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183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30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93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8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3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66072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8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194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3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65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878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9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90593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7509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6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69766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757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1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62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5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23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4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87492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0045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3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56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82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38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11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75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44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93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62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33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5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7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67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13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7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84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4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77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8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274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1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16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7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49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98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65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08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28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00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2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29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71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4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1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54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39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4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0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6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12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65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4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2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19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67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35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49089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83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9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12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12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85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71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9142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06580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6983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3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0747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5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0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3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3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90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11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91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63566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489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7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31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49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2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31484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23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952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6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1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41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14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08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62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87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4168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316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658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3792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0945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6622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444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8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76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8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93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97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26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81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0000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8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96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9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6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88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0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130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5056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1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622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5216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434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0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65295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549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0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78565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9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883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37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38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15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01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21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7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49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840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521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84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50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19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12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00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9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9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4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8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8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36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62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63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2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9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84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61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0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15029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6562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9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2001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75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78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1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5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7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0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4797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7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026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8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20798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265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3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19385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925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6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74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1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38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85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60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58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08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3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1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5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2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3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1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50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52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46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7787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200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27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32858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71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9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45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263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7703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530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726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245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9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10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05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37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48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76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27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23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69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08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22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8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7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07431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9560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6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03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00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45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7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8580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9583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50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64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47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96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4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7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6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2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73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1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46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7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09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385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0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9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98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87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9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2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84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0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2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34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16632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3013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2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23051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411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43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87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81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9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4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7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7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64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9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2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2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5905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5505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8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16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8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5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19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78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2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33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92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72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83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33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82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0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45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83739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906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96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49101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2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0676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53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12397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7766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7059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52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8237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3327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636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647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936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0589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635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32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18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9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0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54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78893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97280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52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0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11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55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98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8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80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38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58241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476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5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98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34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8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17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98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922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19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3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2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87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85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5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8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0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0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7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05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24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7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7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37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8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21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4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7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5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23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8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98578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6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537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0339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209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1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30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79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54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57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76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90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269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21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31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73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05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03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2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97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94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43059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379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1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36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9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1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75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90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86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18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85171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217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2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2102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0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291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36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6370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561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2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8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87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47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29347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3464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9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46199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0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437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50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18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26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97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178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1542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536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8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5561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4318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7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17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3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49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84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12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2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039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81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47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63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375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4798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83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7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44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89103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7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9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53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98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4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1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3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3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4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9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8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50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321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37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53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34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08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51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92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87762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2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94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67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03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26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38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2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0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0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9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3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53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78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700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82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35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0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78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2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72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wynagrodzenia.pl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3.xm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5" Type="http://schemas.openxmlformats.org/officeDocument/2006/relationships/webSettings" Target="webSettings.xml"/><Relationship Id="rId15" Type="http://schemas.openxmlformats.org/officeDocument/2006/relationships/hyperlink" Target="http://wynagrodzenia.pl/t/ogolnopolskie-badanie-wynagrodzen-np" TargetMode="External"/><Relationship Id="rId10" Type="http://schemas.openxmlformats.org/officeDocument/2006/relationships/chart" Target="charts/chart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media@sedlak.pl" TargetMode="External"/><Relationship Id="rId14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2.xml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3.xml"/><Relationship Id="rId2" Type="http://schemas.microsoft.com/office/2011/relationships/chartColorStyle" Target="colors3.xml"/><Relationship Id="rId1" Type="http://schemas.microsoft.com/office/2011/relationships/chartStyle" Target="style3.xml"/><Relationship Id="rId4" Type="http://schemas.openxmlformats.org/officeDocument/2006/relationships/package" Target="../embeddings/Microsoft_Excel_Worksheet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2594558076690118"/>
          <c:y val="1.8471872376154493E-2"/>
          <c:w val="0.82891021440155865"/>
          <c:h val="0.95172907300129317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Arkusz1!$B$1</c:f>
              <c:strCache>
                <c:ptCount val="1"/>
                <c:pt idx="0">
                  <c:v>2019</c:v>
                </c:pt>
              </c:strCache>
            </c:strRef>
          </c:tx>
          <c:spPr>
            <a:solidFill>
              <a:srgbClr val="77C3A5"/>
            </a:solidFill>
            <a:ln>
              <a:noFill/>
            </a:ln>
            <a:effectLst/>
          </c:spPr>
          <c:invertIfNegative val="0"/>
          <c:dLbls>
            <c:dLbl>
              <c:idx val="5"/>
              <c:layout>
                <c:manualLayout>
                  <c:x val="-1.9514098936481965E-3"/>
                  <c:y val="5.912786400591278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C93E-4848-BB32-525CC395CAA2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3.9028197872963575E-3"/>
                  <c:y val="5.390179886050829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10E4-46FC-AFAE-8F85D285C205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0"/>
              <c:layout>
                <c:manualLayout>
                  <c:x val="-5.8542296809444821E-3"/>
                  <c:y val="7.390983000739098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C93E-4848-BB32-525CC395CAA2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Arkusz1!$A$2:$A$31</c:f>
              <c:strCache>
                <c:ptCount val="30"/>
                <c:pt idx="0">
                  <c:v>Włochy</c:v>
                </c:pt>
                <c:pt idx="1">
                  <c:v>Belgia</c:v>
                </c:pt>
                <c:pt idx="2">
                  <c:v>Niemcy</c:v>
                </c:pt>
                <c:pt idx="3">
                  <c:v>Szwecja</c:v>
                </c:pt>
                <c:pt idx="4">
                  <c:v>Finlandia</c:v>
                </c:pt>
                <c:pt idx="5">
                  <c:v>Strefa euro</c:v>
                </c:pt>
                <c:pt idx="6">
                  <c:v>Francja</c:v>
                </c:pt>
                <c:pt idx="7">
                  <c:v>Holandia</c:v>
                </c:pt>
                <c:pt idx="8">
                  <c:v>UE</c:v>
                </c:pt>
                <c:pt idx="9">
                  <c:v>Austria</c:v>
                </c:pt>
                <c:pt idx="10">
                  <c:v>Wlk. Brytania</c:v>
                </c:pt>
                <c:pt idx="11">
                  <c:v>Dania</c:v>
                </c:pt>
                <c:pt idx="12">
                  <c:v>Hiszpania</c:v>
                </c:pt>
                <c:pt idx="13">
                  <c:v>Portugalia</c:v>
                </c:pt>
                <c:pt idx="14">
                  <c:v>Estonia</c:v>
                </c:pt>
                <c:pt idx="15">
                  <c:v>Czechy</c:v>
                </c:pt>
                <c:pt idx="16">
                  <c:v>Grecja</c:v>
                </c:pt>
                <c:pt idx="17">
                  <c:v>Litwa</c:v>
                </c:pt>
                <c:pt idx="18">
                  <c:v>Chorwacja</c:v>
                </c:pt>
                <c:pt idx="19">
                  <c:v>Cypr</c:v>
                </c:pt>
                <c:pt idx="20">
                  <c:v>Łotwa</c:v>
                </c:pt>
                <c:pt idx="21">
                  <c:v>Luksemburg</c:v>
                </c:pt>
                <c:pt idx="22">
                  <c:v>Słowacja</c:v>
                </c:pt>
                <c:pt idx="23">
                  <c:v>Słowenia</c:v>
                </c:pt>
                <c:pt idx="24">
                  <c:v>Węgry</c:v>
                </c:pt>
                <c:pt idx="25">
                  <c:v>Bułgaria</c:v>
                </c:pt>
                <c:pt idx="26">
                  <c:v>Polska</c:v>
                </c:pt>
                <c:pt idx="27">
                  <c:v>Irlandia</c:v>
                </c:pt>
                <c:pt idx="28">
                  <c:v>Rumunia</c:v>
                </c:pt>
                <c:pt idx="29">
                  <c:v>Malta</c:v>
                </c:pt>
              </c:strCache>
            </c:strRef>
          </c:cat>
          <c:val>
            <c:numRef>
              <c:f>Arkusz1!$B$2:$B$31</c:f>
              <c:numCache>
                <c:formatCode>0.00</c:formatCode>
                <c:ptCount val="30"/>
                <c:pt idx="0">
                  <c:v>0.1</c:v>
                </c:pt>
                <c:pt idx="1">
                  <c:v>1.1000000000000001</c:v>
                </c:pt>
                <c:pt idx="2">
                  <c:v>0.4</c:v>
                </c:pt>
                <c:pt idx="3">
                  <c:v>1.1000000000000001</c:v>
                </c:pt>
                <c:pt idx="4">
                  <c:v>1.4</c:v>
                </c:pt>
                <c:pt idx="5">
                  <c:v>1.1000000000000001</c:v>
                </c:pt>
                <c:pt idx="6">
                  <c:v>1.3</c:v>
                </c:pt>
                <c:pt idx="7">
                  <c:v>1.7</c:v>
                </c:pt>
                <c:pt idx="8">
                  <c:v>1.4</c:v>
                </c:pt>
                <c:pt idx="9">
                  <c:v>1.5</c:v>
                </c:pt>
                <c:pt idx="10">
                  <c:v>1.3</c:v>
                </c:pt>
                <c:pt idx="11">
                  <c:v>2</c:v>
                </c:pt>
                <c:pt idx="12">
                  <c:v>1.9</c:v>
                </c:pt>
                <c:pt idx="13">
                  <c:v>2</c:v>
                </c:pt>
                <c:pt idx="14">
                  <c:v>3.2</c:v>
                </c:pt>
                <c:pt idx="15">
                  <c:v>2.5</c:v>
                </c:pt>
                <c:pt idx="16">
                  <c:v>1.8</c:v>
                </c:pt>
                <c:pt idx="17">
                  <c:v>3.8</c:v>
                </c:pt>
                <c:pt idx="18">
                  <c:v>2.9</c:v>
                </c:pt>
                <c:pt idx="19">
                  <c:v>2.9</c:v>
                </c:pt>
                <c:pt idx="20">
                  <c:v>2.5</c:v>
                </c:pt>
                <c:pt idx="21">
                  <c:v>2.6</c:v>
                </c:pt>
                <c:pt idx="22">
                  <c:v>2.7</c:v>
                </c:pt>
                <c:pt idx="23">
                  <c:v>2.6</c:v>
                </c:pt>
                <c:pt idx="24">
                  <c:v>4.5999999999999996</c:v>
                </c:pt>
                <c:pt idx="25">
                  <c:v>3.6</c:v>
                </c:pt>
                <c:pt idx="26">
                  <c:v>4.0999999999999996</c:v>
                </c:pt>
                <c:pt idx="27">
                  <c:v>5.6</c:v>
                </c:pt>
                <c:pt idx="28">
                  <c:v>4.0999999999999996</c:v>
                </c:pt>
                <c:pt idx="29">
                  <c:v>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58DA-4B18-B93B-B95D8E88C61C}"/>
            </c:ext>
          </c:extLst>
        </c:ser>
        <c:ser>
          <c:idx val="1"/>
          <c:order val="1"/>
          <c:tx>
            <c:strRef>
              <c:f>Arkusz1!$C$1</c:f>
              <c:strCache>
                <c:ptCount val="1"/>
                <c:pt idx="0">
                  <c:v>2020</c:v>
                </c:pt>
              </c:strCache>
            </c:strRef>
          </c:tx>
          <c:spPr>
            <a:solidFill>
              <a:srgbClr val="39417B"/>
            </a:solidFill>
            <a:ln>
              <a:noFill/>
            </a:ln>
            <a:effectLst/>
          </c:spPr>
          <c:invertIfNegative val="0"/>
          <c:dLbls>
            <c:dLbl>
              <c:idx val="6"/>
              <c:layout>
                <c:manualLayout>
                  <c:x val="-5.8542296809445185E-3"/>
                  <c:y val="-5.912786400591278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C93E-4848-BB32-525CC395CAA2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9.7570494682408405E-3"/>
                  <c:y val="-2.956393200295639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C93E-4848-BB32-525CC395CAA2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1.9514098936481608E-3"/>
                  <c:y val="-4.43458980044345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C93E-4848-BB32-525CC395CAA2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4"/>
              <c:layout>
                <c:manualLayout>
                  <c:x val="0"/>
                  <c:y val="-4.912395611593193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10E4-46FC-AFAE-8F85D285C205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0"/>
              <c:layout>
                <c:manualLayout>
                  <c:x val="-9.757049468240804E-3"/>
                  <c:y val="-7.9636386915050256E-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10E4-46FC-AFAE-8F85D285C205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1"/>
              <c:layout>
                <c:manualLayout>
                  <c:x val="-5.8542296809444821E-3"/>
                  <c:y val="-4.43458980044345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C93E-4848-BB32-525CC395CAA2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2"/>
              <c:layout>
                <c:manualLayout>
                  <c:x val="-5.8542296809444821E-3"/>
                  <c:y val="-4.43458980044345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C93E-4848-BB32-525CC395CAA2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3"/>
              <c:layout>
                <c:manualLayout>
                  <c:x val="-1.9514098936482323E-3"/>
                  <c:y val="-4.434589800443432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C93E-4848-BB32-525CC395CAA2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9"/>
              <c:layout>
                <c:manualLayout>
                  <c:x val="0"/>
                  <c:y val="-1.14622564270509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10E4-46FC-AFAE-8F85D285C205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Arkusz1!$A$2:$A$31</c:f>
              <c:strCache>
                <c:ptCount val="30"/>
                <c:pt idx="0">
                  <c:v>Włochy</c:v>
                </c:pt>
                <c:pt idx="1">
                  <c:v>Belgia</c:v>
                </c:pt>
                <c:pt idx="2">
                  <c:v>Niemcy</c:v>
                </c:pt>
                <c:pt idx="3">
                  <c:v>Szwecja</c:v>
                </c:pt>
                <c:pt idx="4">
                  <c:v>Finlandia</c:v>
                </c:pt>
                <c:pt idx="5">
                  <c:v>Strefa euro</c:v>
                </c:pt>
                <c:pt idx="6">
                  <c:v>Francja</c:v>
                </c:pt>
                <c:pt idx="7">
                  <c:v>Holandia</c:v>
                </c:pt>
                <c:pt idx="8">
                  <c:v>UE</c:v>
                </c:pt>
                <c:pt idx="9">
                  <c:v>Austria</c:v>
                </c:pt>
                <c:pt idx="10">
                  <c:v>Wlk. Brytania</c:v>
                </c:pt>
                <c:pt idx="11">
                  <c:v>Dania</c:v>
                </c:pt>
                <c:pt idx="12">
                  <c:v>Hiszpania</c:v>
                </c:pt>
                <c:pt idx="13">
                  <c:v>Portugalia</c:v>
                </c:pt>
                <c:pt idx="14">
                  <c:v>Estonia</c:v>
                </c:pt>
                <c:pt idx="15">
                  <c:v>Czechy</c:v>
                </c:pt>
                <c:pt idx="16">
                  <c:v>Grecja</c:v>
                </c:pt>
                <c:pt idx="17">
                  <c:v>Litwa</c:v>
                </c:pt>
                <c:pt idx="18">
                  <c:v>Chorwacja</c:v>
                </c:pt>
                <c:pt idx="19">
                  <c:v>Cypr</c:v>
                </c:pt>
                <c:pt idx="20">
                  <c:v>Łotwa</c:v>
                </c:pt>
                <c:pt idx="21">
                  <c:v>Luksemburg</c:v>
                </c:pt>
                <c:pt idx="22">
                  <c:v>Słowacja</c:v>
                </c:pt>
                <c:pt idx="23">
                  <c:v>Słowenia</c:v>
                </c:pt>
                <c:pt idx="24">
                  <c:v>Węgry</c:v>
                </c:pt>
                <c:pt idx="25">
                  <c:v>Bułgaria</c:v>
                </c:pt>
                <c:pt idx="26">
                  <c:v>Polska</c:v>
                </c:pt>
                <c:pt idx="27">
                  <c:v>Irlandia</c:v>
                </c:pt>
                <c:pt idx="28">
                  <c:v>Rumunia</c:v>
                </c:pt>
                <c:pt idx="29">
                  <c:v>Malta</c:v>
                </c:pt>
              </c:strCache>
            </c:strRef>
          </c:cat>
          <c:val>
            <c:numRef>
              <c:f>Arkusz1!$C$2:$C$31</c:f>
              <c:numCache>
                <c:formatCode>General</c:formatCode>
                <c:ptCount val="30"/>
                <c:pt idx="0">
                  <c:v>0.4</c:v>
                </c:pt>
                <c:pt idx="1">
                  <c:v>1</c:v>
                </c:pt>
                <c:pt idx="2">
                  <c:v>1</c:v>
                </c:pt>
                <c:pt idx="3">
                  <c:v>1</c:v>
                </c:pt>
                <c:pt idx="4">
                  <c:v>1.1000000000000001</c:v>
                </c:pt>
                <c:pt idx="5">
                  <c:v>1.2</c:v>
                </c:pt>
                <c:pt idx="6">
                  <c:v>1.3</c:v>
                </c:pt>
                <c:pt idx="7">
                  <c:v>1.3</c:v>
                </c:pt>
                <c:pt idx="8">
                  <c:v>1.4</c:v>
                </c:pt>
                <c:pt idx="9">
                  <c:v>1.4</c:v>
                </c:pt>
                <c:pt idx="10">
                  <c:v>1.4</c:v>
                </c:pt>
                <c:pt idx="11">
                  <c:v>1.5</c:v>
                </c:pt>
                <c:pt idx="12">
                  <c:v>1.5</c:v>
                </c:pt>
                <c:pt idx="13">
                  <c:v>1.7</c:v>
                </c:pt>
                <c:pt idx="14">
                  <c:v>2.1</c:v>
                </c:pt>
                <c:pt idx="15">
                  <c:v>2.2000000000000002</c:v>
                </c:pt>
                <c:pt idx="16">
                  <c:v>2.2999999999999998</c:v>
                </c:pt>
                <c:pt idx="17">
                  <c:v>2.4</c:v>
                </c:pt>
                <c:pt idx="18">
                  <c:v>2.6</c:v>
                </c:pt>
                <c:pt idx="19">
                  <c:v>2.6</c:v>
                </c:pt>
                <c:pt idx="20">
                  <c:v>2.6</c:v>
                </c:pt>
                <c:pt idx="21">
                  <c:v>2.6</c:v>
                </c:pt>
                <c:pt idx="22">
                  <c:v>2.6</c:v>
                </c:pt>
                <c:pt idx="23">
                  <c:v>2.7</c:v>
                </c:pt>
                <c:pt idx="24">
                  <c:v>2.8</c:v>
                </c:pt>
                <c:pt idx="25">
                  <c:v>3</c:v>
                </c:pt>
                <c:pt idx="26">
                  <c:v>3.3</c:v>
                </c:pt>
                <c:pt idx="27">
                  <c:v>3.5</c:v>
                </c:pt>
                <c:pt idx="28">
                  <c:v>3.6</c:v>
                </c:pt>
                <c:pt idx="29">
                  <c:v>4.2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58DA-4B18-B93B-B95D8E88C61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558447824"/>
        <c:axId val="314229360"/>
      </c:barChart>
      <c:catAx>
        <c:axId val="55844782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14229360"/>
        <c:crosses val="autoZero"/>
        <c:auto val="1"/>
        <c:lblAlgn val="ctr"/>
        <c:lblOffset val="100"/>
        <c:noMultiLvlLbl val="0"/>
      </c:catAx>
      <c:valAx>
        <c:axId val="314229360"/>
        <c:scaling>
          <c:orientation val="minMax"/>
        </c:scaling>
        <c:delete val="0"/>
        <c:axPos val="b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55844782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85576620230163536"/>
          <c:y val="0.47166227017592582"/>
          <c:w val="6.6594858880029001E-2"/>
          <c:h val="5.5264837433228173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noFill/>
    <a:ln w="9525" cap="flat" cmpd="sng" algn="ctr">
      <a:solidFill>
        <a:schemeClr val="bg1"/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Arkusz1!$B$1</c:f>
              <c:strCache>
                <c:ptCount val="1"/>
                <c:pt idx="0">
                  <c:v>wzrost nominalny</c:v>
                </c:pt>
              </c:strCache>
            </c:strRef>
          </c:tx>
          <c:spPr>
            <a:solidFill>
              <a:srgbClr val="77C3D8"/>
            </a:solidFill>
            <a:ln>
              <a:noFill/>
            </a:ln>
            <a:effectLst/>
          </c:spPr>
          <c:invertIfNegative val="0"/>
          <c:dLbls>
            <c:numFmt formatCode="#,##0.0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Arkusz1!$A$2:$A$31</c:f>
              <c:strCache>
                <c:ptCount val="30"/>
                <c:pt idx="0">
                  <c:v>Grecja</c:v>
                </c:pt>
                <c:pt idx="1">
                  <c:v>Włochy</c:v>
                </c:pt>
                <c:pt idx="2">
                  <c:v>Francja</c:v>
                </c:pt>
                <c:pt idx="3">
                  <c:v>Belgia</c:v>
                </c:pt>
                <c:pt idx="4">
                  <c:v>Austria</c:v>
                </c:pt>
                <c:pt idx="5">
                  <c:v>Strefa euro</c:v>
                </c:pt>
                <c:pt idx="6">
                  <c:v>Hiszpania</c:v>
                </c:pt>
                <c:pt idx="7">
                  <c:v>Niemcy</c:v>
                </c:pt>
                <c:pt idx="8">
                  <c:v>Luksemburg</c:v>
                </c:pt>
                <c:pt idx="9">
                  <c:v>Chorwacja</c:v>
                </c:pt>
                <c:pt idx="10">
                  <c:v>UE</c:v>
                </c:pt>
                <c:pt idx="11">
                  <c:v>Dania</c:v>
                </c:pt>
                <c:pt idx="12">
                  <c:v>Portugalia</c:v>
                </c:pt>
                <c:pt idx="13">
                  <c:v>Szwecja</c:v>
                </c:pt>
                <c:pt idx="14">
                  <c:v>Finlandia</c:v>
                </c:pt>
                <c:pt idx="15">
                  <c:v>Cypr</c:v>
                </c:pt>
                <c:pt idx="16">
                  <c:v>Holandia</c:v>
                </c:pt>
                <c:pt idx="17">
                  <c:v>Wlk. Brytania</c:v>
                </c:pt>
                <c:pt idx="18">
                  <c:v>Malta</c:v>
                </c:pt>
                <c:pt idx="19">
                  <c:v>Słowenia</c:v>
                </c:pt>
                <c:pt idx="20">
                  <c:v>Irlandia</c:v>
                </c:pt>
                <c:pt idx="21">
                  <c:v>Litwa</c:v>
                </c:pt>
                <c:pt idx="22">
                  <c:v>Czechy</c:v>
                </c:pt>
                <c:pt idx="23">
                  <c:v>Łotwa</c:v>
                </c:pt>
                <c:pt idx="24">
                  <c:v>Słowacja</c:v>
                </c:pt>
                <c:pt idx="25">
                  <c:v>Estonia</c:v>
                </c:pt>
                <c:pt idx="26">
                  <c:v>Węgry</c:v>
                </c:pt>
                <c:pt idx="27">
                  <c:v>Bułgaria</c:v>
                </c:pt>
                <c:pt idx="28">
                  <c:v>Polska</c:v>
                </c:pt>
                <c:pt idx="29">
                  <c:v>Rumunia</c:v>
                </c:pt>
              </c:strCache>
            </c:strRef>
          </c:cat>
          <c:val>
            <c:numRef>
              <c:f>Arkusz1!$B$2:$B$31</c:f>
              <c:numCache>
                <c:formatCode>0.00</c:formatCode>
                <c:ptCount val="30"/>
                <c:pt idx="0">
                  <c:v>1.1000000000000001</c:v>
                </c:pt>
                <c:pt idx="1">
                  <c:v>1.1000000000000001</c:v>
                </c:pt>
                <c:pt idx="2">
                  <c:v>1.4</c:v>
                </c:pt>
                <c:pt idx="3">
                  <c:v>1.8</c:v>
                </c:pt>
                <c:pt idx="4">
                  <c:v>2</c:v>
                </c:pt>
                <c:pt idx="5">
                  <c:v>2.1</c:v>
                </c:pt>
                <c:pt idx="6">
                  <c:v>2.2000000000000002</c:v>
                </c:pt>
                <c:pt idx="7">
                  <c:v>2.5</c:v>
                </c:pt>
                <c:pt idx="8">
                  <c:v>2.5</c:v>
                </c:pt>
                <c:pt idx="9">
                  <c:v>2.5</c:v>
                </c:pt>
                <c:pt idx="10">
                  <c:v>2.6</c:v>
                </c:pt>
                <c:pt idx="11">
                  <c:v>2.7</c:v>
                </c:pt>
                <c:pt idx="12">
                  <c:v>2.8</c:v>
                </c:pt>
                <c:pt idx="13">
                  <c:v>2.9</c:v>
                </c:pt>
                <c:pt idx="14">
                  <c:v>3</c:v>
                </c:pt>
                <c:pt idx="15">
                  <c:v>3.1</c:v>
                </c:pt>
                <c:pt idx="16">
                  <c:v>3.2</c:v>
                </c:pt>
                <c:pt idx="17">
                  <c:v>3.3</c:v>
                </c:pt>
                <c:pt idx="18">
                  <c:v>3.4</c:v>
                </c:pt>
                <c:pt idx="19">
                  <c:v>3.6</c:v>
                </c:pt>
                <c:pt idx="20">
                  <c:v>3.7</c:v>
                </c:pt>
                <c:pt idx="21">
                  <c:v>4.4000000000000004</c:v>
                </c:pt>
                <c:pt idx="22">
                  <c:v>4.7</c:v>
                </c:pt>
                <c:pt idx="23">
                  <c:v>5</c:v>
                </c:pt>
                <c:pt idx="24">
                  <c:v>5.4</c:v>
                </c:pt>
                <c:pt idx="25">
                  <c:v>5.8</c:v>
                </c:pt>
                <c:pt idx="26">
                  <c:v>6.5</c:v>
                </c:pt>
                <c:pt idx="27">
                  <c:v>6.6</c:v>
                </c:pt>
                <c:pt idx="28">
                  <c:v>8.1999999999999993</c:v>
                </c:pt>
                <c:pt idx="29">
                  <c:v>9.1999999999999993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955E-460C-AB99-E67D874279B9}"/>
            </c:ext>
          </c:extLst>
        </c:ser>
        <c:ser>
          <c:idx val="1"/>
          <c:order val="1"/>
          <c:tx>
            <c:strRef>
              <c:f>Arkusz1!$C$1</c:f>
              <c:strCache>
                <c:ptCount val="1"/>
                <c:pt idx="0">
                  <c:v>wzrost realny</c:v>
                </c:pt>
              </c:strCache>
            </c:strRef>
          </c:tx>
          <c:spPr>
            <a:solidFill>
              <a:srgbClr val="39417B"/>
            </a:solidFill>
            <a:ln>
              <a:noFill/>
            </a:ln>
            <a:effectLst/>
          </c:spPr>
          <c:invertIfNegative val="0"/>
          <c:dLbls>
            <c:numFmt formatCode="#,##0.0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Arkusz1!$A$2:$A$31</c:f>
              <c:strCache>
                <c:ptCount val="30"/>
                <c:pt idx="0">
                  <c:v>Grecja</c:v>
                </c:pt>
                <c:pt idx="1">
                  <c:v>Włochy</c:v>
                </c:pt>
                <c:pt idx="2">
                  <c:v>Francja</c:v>
                </c:pt>
                <c:pt idx="3">
                  <c:v>Belgia</c:v>
                </c:pt>
                <c:pt idx="4">
                  <c:v>Austria</c:v>
                </c:pt>
                <c:pt idx="5">
                  <c:v>Strefa euro</c:v>
                </c:pt>
                <c:pt idx="6">
                  <c:v>Hiszpania</c:v>
                </c:pt>
                <c:pt idx="7">
                  <c:v>Niemcy</c:v>
                </c:pt>
                <c:pt idx="8">
                  <c:v>Luksemburg</c:v>
                </c:pt>
                <c:pt idx="9">
                  <c:v>Chorwacja</c:v>
                </c:pt>
                <c:pt idx="10">
                  <c:v>UE</c:v>
                </c:pt>
                <c:pt idx="11">
                  <c:v>Dania</c:v>
                </c:pt>
                <c:pt idx="12">
                  <c:v>Portugalia</c:v>
                </c:pt>
                <c:pt idx="13">
                  <c:v>Szwecja</c:v>
                </c:pt>
                <c:pt idx="14">
                  <c:v>Finlandia</c:v>
                </c:pt>
                <c:pt idx="15">
                  <c:v>Cypr</c:v>
                </c:pt>
                <c:pt idx="16">
                  <c:v>Holandia</c:v>
                </c:pt>
                <c:pt idx="17">
                  <c:v>Wlk. Brytania</c:v>
                </c:pt>
                <c:pt idx="18">
                  <c:v>Malta</c:v>
                </c:pt>
                <c:pt idx="19">
                  <c:v>Słowenia</c:v>
                </c:pt>
                <c:pt idx="20">
                  <c:v>Irlandia</c:v>
                </c:pt>
                <c:pt idx="21">
                  <c:v>Litwa</c:v>
                </c:pt>
                <c:pt idx="22">
                  <c:v>Czechy</c:v>
                </c:pt>
                <c:pt idx="23">
                  <c:v>Łotwa</c:v>
                </c:pt>
                <c:pt idx="24">
                  <c:v>Słowacja</c:v>
                </c:pt>
                <c:pt idx="25">
                  <c:v>Estonia</c:v>
                </c:pt>
                <c:pt idx="26">
                  <c:v>Węgry</c:v>
                </c:pt>
                <c:pt idx="27">
                  <c:v>Bułgaria</c:v>
                </c:pt>
                <c:pt idx="28">
                  <c:v>Polska</c:v>
                </c:pt>
                <c:pt idx="29">
                  <c:v>Rumunia</c:v>
                </c:pt>
              </c:strCache>
            </c:strRef>
          </c:cat>
          <c:val>
            <c:numRef>
              <c:f>Arkusz1!$C$2:$C$31</c:f>
              <c:numCache>
                <c:formatCode>General</c:formatCode>
                <c:ptCount val="30"/>
                <c:pt idx="0">
                  <c:v>0.5</c:v>
                </c:pt>
                <c:pt idx="1">
                  <c:v>0.3</c:v>
                </c:pt>
                <c:pt idx="2">
                  <c:v>0.2</c:v>
                </c:pt>
                <c:pt idx="3">
                  <c:v>0.2</c:v>
                </c:pt>
                <c:pt idx="4">
                  <c:v>0.4</c:v>
                </c:pt>
                <c:pt idx="5">
                  <c:v>0.9</c:v>
                </c:pt>
                <c:pt idx="6">
                  <c:v>1.1000000000000001</c:v>
                </c:pt>
                <c:pt idx="7">
                  <c:v>1.3</c:v>
                </c:pt>
                <c:pt idx="8">
                  <c:v>0.8</c:v>
                </c:pt>
                <c:pt idx="9">
                  <c:v>1.2</c:v>
                </c:pt>
                <c:pt idx="10">
                  <c:v>1.2</c:v>
                </c:pt>
                <c:pt idx="11">
                  <c:v>1</c:v>
                </c:pt>
                <c:pt idx="12">
                  <c:v>1.6</c:v>
                </c:pt>
                <c:pt idx="13">
                  <c:v>1.2</c:v>
                </c:pt>
                <c:pt idx="14">
                  <c:v>1.6</c:v>
                </c:pt>
                <c:pt idx="15">
                  <c:v>2.4</c:v>
                </c:pt>
                <c:pt idx="16">
                  <c:v>1.7</c:v>
                </c:pt>
                <c:pt idx="17">
                  <c:v>1.8</c:v>
                </c:pt>
                <c:pt idx="18">
                  <c:v>2.1</c:v>
                </c:pt>
                <c:pt idx="19">
                  <c:v>1.4</c:v>
                </c:pt>
                <c:pt idx="20">
                  <c:v>1.6</c:v>
                </c:pt>
                <c:pt idx="21">
                  <c:v>2.4</c:v>
                </c:pt>
                <c:pt idx="22">
                  <c:v>2</c:v>
                </c:pt>
                <c:pt idx="23">
                  <c:v>2.4</c:v>
                </c:pt>
                <c:pt idx="24">
                  <c:v>3</c:v>
                </c:pt>
                <c:pt idx="25">
                  <c:v>3.4</c:v>
                </c:pt>
                <c:pt idx="26">
                  <c:v>3.3</c:v>
                </c:pt>
                <c:pt idx="27">
                  <c:v>4.2</c:v>
                </c:pt>
                <c:pt idx="28">
                  <c:v>5.4</c:v>
                </c:pt>
                <c:pt idx="29">
                  <c:v>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955E-460C-AB99-E67D874279B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14229752"/>
        <c:axId val="314230144"/>
      </c:barChart>
      <c:catAx>
        <c:axId val="31422975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14230144"/>
        <c:crosses val="autoZero"/>
        <c:auto val="1"/>
        <c:lblAlgn val="ctr"/>
        <c:lblOffset val="100"/>
        <c:noMultiLvlLbl val="0"/>
      </c:catAx>
      <c:valAx>
        <c:axId val="314230144"/>
        <c:scaling>
          <c:orientation val="minMax"/>
        </c:scaling>
        <c:delete val="0"/>
        <c:axPos val="b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1422975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1855181494742481"/>
          <c:y val="2.3742715303259228E-2"/>
          <c:w val="0.85599538198597236"/>
          <c:h val="0.91134602670673093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Arkusz1!$B$1</c:f>
              <c:strCache>
                <c:ptCount val="1"/>
                <c:pt idx="0">
                  <c:v>dynamika wydajności pracy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Lbl>
              <c:idx val="1"/>
              <c:layout>
                <c:manualLayout>
                  <c:x val="-7.2213181871191688E-17"/>
                  <c:y val="4.866180048661681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223E-47AE-9C1F-B422A08D65C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1"/>
              <c:layout>
                <c:manualLayout>
                  <c:x val="-3.9389463318562287E-3"/>
                  <c:y val="1.622060016220540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223E-47AE-9C1F-B422A08D65C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Arkusz1!$A$2:$A$31</c:f>
              <c:strCache>
                <c:ptCount val="30"/>
                <c:pt idx="0">
                  <c:v>Luksemburg</c:v>
                </c:pt>
                <c:pt idx="1">
                  <c:v>Belgia</c:v>
                </c:pt>
                <c:pt idx="2">
                  <c:v>Grecja</c:v>
                </c:pt>
                <c:pt idx="3">
                  <c:v>Włochy</c:v>
                </c:pt>
                <c:pt idx="4">
                  <c:v>Hiszpania</c:v>
                </c:pt>
                <c:pt idx="5">
                  <c:v>Francja</c:v>
                </c:pt>
                <c:pt idx="6">
                  <c:v>Cypr</c:v>
                </c:pt>
                <c:pt idx="7">
                  <c:v>Dania</c:v>
                </c:pt>
                <c:pt idx="8">
                  <c:v>Holandia</c:v>
                </c:pt>
                <c:pt idx="9">
                  <c:v>Austria</c:v>
                </c:pt>
                <c:pt idx="10">
                  <c:v>Finlandia</c:v>
                </c:pt>
                <c:pt idx="11">
                  <c:v>Strefa euro</c:v>
                </c:pt>
                <c:pt idx="12">
                  <c:v>Wlk. Brytania</c:v>
                </c:pt>
                <c:pt idx="13">
                  <c:v>Niemcy</c:v>
                </c:pt>
                <c:pt idx="14">
                  <c:v>UE</c:v>
                </c:pt>
                <c:pt idx="15">
                  <c:v>Malta</c:v>
                </c:pt>
                <c:pt idx="16">
                  <c:v>Szwecja</c:v>
                </c:pt>
                <c:pt idx="17">
                  <c:v>Portugalia</c:v>
                </c:pt>
                <c:pt idx="18">
                  <c:v>Słowenia</c:v>
                </c:pt>
                <c:pt idx="19">
                  <c:v>Chorwacja</c:v>
                </c:pt>
                <c:pt idx="20">
                  <c:v>Czechy</c:v>
                </c:pt>
                <c:pt idx="21">
                  <c:v>Irlandia</c:v>
                </c:pt>
                <c:pt idx="22">
                  <c:v>Estonia</c:v>
                </c:pt>
                <c:pt idx="23">
                  <c:v>Litwa</c:v>
                </c:pt>
                <c:pt idx="24">
                  <c:v>Słowacja</c:v>
                </c:pt>
                <c:pt idx="25">
                  <c:v>Łotwa</c:v>
                </c:pt>
                <c:pt idx="26">
                  <c:v>Węgry</c:v>
                </c:pt>
                <c:pt idx="27">
                  <c:v>Bułgaria</c:v>
                </c:pt>
                <c:pt idx="28">
                  <c:v>Rumunia</c:v>
                </c:pt>
                <c:pt idx="29">
                  <c:v>Polska</c:v>
                </c:pt>
              </c:strCache>
            </c:strRef>
          </c:cat>
          <c:val>
            <c:numRef>
              <c:f>Arkusz1!$B$2:$B$31</c:f>
              <c:numCache>
                <c:formatCode>General</c:formatCode>
                <c:ptCount val="30"/>
                <c:pt idx="0">
                  <c:v>-0.8</c:v>
                </c:pt>
                <c:pt idx="1">
                  <c:v>0.1</c:v>
                </c:pt>
                <c:pt idx="2">
                  <c:v>0.1</c:v>
                </c:pt>
                <c:pt idx="3">
                  <c:v>0.3</c:v>
                </c:pt>
                <c:pt idx="4">
                  <c:v>0.5</c:v>
                </c:pt>
                <c:pt idx="5">
                  <c:v>0.5</c:v>
                </c:pt>
                <c:pt idx="6">
                  <c:v>0.5</c:v>
                </c:pt>
                <c:pt idx="7">
                  <c:v>0.6</c:v>
                </c:pt>
                <c:pt idx="8">
                  <c:v>0.7</c:v>
                </c:pt>
                <c:pt idx="9">
                  <c:v>0.7</c:v>
                </c:pt>
                <c:pt idx="10">
                  <c:v>0.7</c:v>
                </c:pt>
                <c:pt idx="11">
                  <c:v>0.7</c:v>
                </c:pt>
                <c:pt idx="12">
                  <c:v>0.7</c:v>
                </c:pt>
                <c:pt idx="13">
                  <c:v>0.9</c:v>
                </c:pt>
                <c:pt idx="14">
                  <c:v>0.9</c:v>
                </c:pt>
                <c:pt idx="15">
                  <c:v>1.1000000000000001</c:v>
                </c:pt>
                <c:pt idx="16">
                  <c:v>1.1000000000000001</c:v>
                </c:pt>
                <c:pt idx="17">
                  <c:v>1.2</c:v>
                </c:pt>
                <c:pt idx="18">
                  <c:v>1.2</c:v>
                </c:pt>
                <c:pt idx="19">
                  <c:v>1.5</c:v>
                </c:pt>
                <c:pt idx="20">
                  <c:v>1.6</c:v>
                </c:pt>
                <c:pt idx="21">
                  <c:v>1.8</c:v>
                </c:pt>
                <c:pt idx="22">
                  <c:v>2.1</c:v>
                </c:pt>
                <c:pt idx="23">
                  <c:v>2.2999999999999998</c:v>
                </c:pt>
                <c:pt idx="24">
                  <c:v>2.4</c:v>
                </c:pt>
                <c:pt idx="25">
                  <c:v>2.6</c:v>
                </c:pt>
                <c:pt idx="26">
                  <c:v>2.6</c:v>
                </c:pt>
                <c:pt idx="27">
                  <c:v>3</c:v>
                </c:pt>
                <c:pt idx="28">
                  <c:v>3.4</c:v>
                </c:pt>
                <c:pt idx="29">
                  <c:v>3.5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0EC5-4D72-B280-41A7A7DAB6FB}"/>
            </c:ext>
          </c:extLst>
        </c:ser>
        <c:ser>
          <c:idx val="1"/>
          <c:order val="1"/>
          <c:tx>
            <c:strRef>
              <c:f>Arkusz1!$C$1</c:f>
              <c:strCache>
                <c:ptCount val="1"/>
                <c:pt idx="0">
                  <c:v>realna dynamika wynagrodzeń</c:v>
                </c:pt>
              </c:strCache>
            </c:strRef>
          </c:tx>
          <c:spPr>
            <a:solidFill>
              <a:srgbClr val="77C3A5"/>
            </a:solidFill>
            <a:ln>
              <a:noFill/>
            </a:ln>
            <a:effectLst/>
          </c:spPr>
          <c:invertIfNegative val="0"/>
          <c:dLbls>
            <c:dLbl>
              <c:idx val="1"/>
              <c:layout>
                <c:manualLayout>
                  <c:x val="0"/>
                  <c:y val="-4.866180048661919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223E-47AE-9C1F-B422A08D65C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0"/>
                  <c:y val="-4.866180048661800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223E-47AE-9C1F-B422A08D65C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1.9166267369429804E-3"/>
                  <c:y val="-4.316857327865314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D9BF-4411-ABEE-76DF0CE1FC32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6"/>
              <c:layout>
                <c:manualLayout>
                  <c:x val="-1.9694731659281144E-3"/>
                  <c:y val="-1.622060016220600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223E-47AE-9C1F-B422A08D65C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8"/>
              <c:layout>
                <c:manualLayout>
                  <c:x val="-1.9694731659281864E-3"/>
                  <c:y val="-3.159557661927388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223E-47AE-9C1F-B422A08D65C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9"/>
              <c:layout>
                <c:manualLayout>
                  <c:x val="0"/>
                  <c:y val="-4.866180048661800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223E-47AE-9C1F-B422A08D65C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0"/>
              <c:layout>
                <c:manualLayout>
                  <c:x val="-7.2213181871191688E-17"/>
                  <c:y val="-1.622060016220659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223E-47AE-9C1F-B422A08D65C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1"/>
              <c:layout>
                <c:manualLayout>
                  <c:x val="-7.2213181871191688E-17"/>
                  <c:y val="-6.488240064882459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223E-47AE-9C1F-B422A08D65C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3"/>
              <c:layout>
                <c:manualLayout>
                  <c:x val="-9.8473658296405718E-3"/>
                  <c:y val="-4.866180048661800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223E-47AE-9C1F-B422A08D65C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5"/>
              <c:layout>
                <c:manualLayout>
                  <c:x val="-5.9084194977843431E-3"/>
                  <c:y val="-4.866180048661800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223E-47AE-9C1F-B422A08D65C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Arkusz1!$A$2:$A$31</c:f>
              <c:strCache>
                <c:ptCount val="30"/>
                <c:pt idx="0">
                  <c:v>Luksemburg</c:v>
                </c:pt>
                <c:pt idx="1">
                  <c:v>Belgia</c:v>
                </c:pt>
                <c:pt idx="2">
                  <c:v>Grecja</c:v>
                </c:pt>
                <c:pt idx="3">
                  <c:v>Włochy</c:v>
                </c:pt>
                <c:pt idx="4">
                  <c:v>Hiszpania</c:v>
                </c:pt>
                <c:pt idx="5">
                  <c:v>Francja</c:v>
                </c:pt>
                <c:pt idx="6">
                  <c:v>Cypr</c:v>
                </c:pt>
                <c:pt idx="7">
                  <c:v>Dania</c:v>
                </c:pt>
                <c:pt idx="8">
                  <c:v>Holandia</c:v>
                </c:pt>
                <c:pt idx="9">
                  <c:v>Austria</c:v>
                </c:pt>
                <c:pt idx="10">
                  <c:v>Finlandia</c:v>
                </c:pt>
                <c:pt idx="11">
                  <c:v>Strefa euro</c:v>
                </c:pt>
                <c:pt idx="12">
                  <c:v>Wlk. Brytania</c:v>
                </c:pt>
                <c:pt idx="13">
                  <c:v>Niemcy</c:v>
                </c:pt>
                <c:pt idx="14">
                  <c:v>UE</c:v>
                </c:pt>
                <c:pt idx="15">
                  <c:v>Malta</c:v>
                </c:pt>
                <c:pt idx="16">
                  <c:v>Szwecja</c:v>
                </c:pt>
                <c:pt idx="17">
                  <c:v>Portugalia</c:v>
                </c:pt>
                <c:pt idx="18">
                  <c:v>Słowenia</c:v>
                </c:pt>
                <c:pt idx="19">
                  <c:v>Chorwacja</c:v>
                </c:pt>
                <c:pt idx="20">
                  <c:v>Czechy</c:v>
                </c:pt>
                <c:pt idx="21">
                  <c:v>Irlandia</c:v>
                </c:pt>
                <c:pt idx="22">
                  <c:v>Estonia</c:v>
                </c:pt>
                <c:pt idx="23">
                  <c:v>Litwa</c:v>
                </c:pt>
                <c:pt idx="24">
                  <c:v>Słowacja</c:v>
                </c:pt>
                <c:pt idx="25">
                  <c:v>Łotwa</c:v>
                </c:pt>
                <c:pt idx="26">
                  <c:v>Węgry</c:v>
                </c:pt>
                <c:pt idx="27">
                  <c:v>Bułgaria</c:v>
                </c:pt>
                <c:pt idx="28">
                  <c:v>Rumunia</c:v>
                </c:pt>
                <c:pt idx="29">
                  <c:v>Polska</c:v>
                </c:pt>
              </c:strCache>
            </c:strRef>
          </c:cat>
          <c:val>
            <c:numRef>
              <c:f>Arkusz1!$C$2:$C$31</c:f>
              <c:numCache>
                <c:formatCode>General</c:formatCode>
                <c:ptCount val="30"/>
                <c:pt idx="0">
                  <c:v>0.8</c:v>
                </c:pt>
                <c:pt idx="1">
                  <c:v>0.2</c:v>
                </c:pt>
                <c:pt idx="2">
                  <c:v>0.5</c:v>
                </c:pt>
                <c:pt idx="3">
                  <c:v>0.3</c:v>
                </c:pt>
                <c:pt idx="4">
                  <c:v>1.1000000000000001</c:v>
                </c:pt>
                <c:pt idx="5">
                  <c:v>0.2</c:v>
                </c:pt>
                <c:pt idx="6">
                  <c:v>2.4</c:v>
                </c:pt>
                <c:pt idx="7">
                  <c:v>1</c:v>
                </c:pt>
                <c:pt idx="8">
                  <c:v>1.7</c:v>
                </c:pt>
                <c:pt idx="9">
                  <c:v>0.4</c:v>
                </c:pt>
                <c:pt idx="10">
                  <c:v>1.6</c:v>
                </c:pt>
                <c:pt idx="11">
                  <c:v>0.9</c:v>
                </c:pt>
                <c:pt idx="12">
                  <c:v>1.8</c:v>
                </c:pt>
                <c:pt idx="13">
                  <c:v>1.3</c:v>
                </c:pt>
                <c:pt idx="14">
                  <c:v>1.2</c:v>
                </c:pt>
                <c:pt idx="15">
                  <c:v>2.1</c:v>
                </c:pt>
                <c:pt idx="16">
                  <c:v>1.2</c:v>
                </c:pt>
                <c:pt idx="17">
                  <c:v>1.6</c:v>
                </c:pt>
                <c:pt idx="18">
                  <c:v>1.4</c:v>
                </c:pt>
                <c:pt idx="19">
                  <c:v>1.2</c:v>
                </c:pt>
                <c:pt idx="20">
                  <c:v>2</c:v>
                </c:pt>
                <c:pt idx="21">
                  <c:v>1.6</c:v>
                </c:pt>
                <c:pt idx="22">
                  <c:v>3.4</c:v>
                </c:pt>
                <c:pt idx="23">
                  <c:v>2.4</c:v>
                </c:pt>
                <c:pt idx="24">
                  <c:v>3</c:v>
                </c:pt>
                <c:pt idx="25">
                  <c:v>2.4</c:v>
                </c:pt>
                <c:pt idx="26">
                  <c:v>3.3</c:v>
                </c:pt>
                <c:pt idx="27">
                  <c:v>4.2</c:v>
                </c:pt>
                <c:pt idx="28">
                  <c:v>5</c:v>
                </c:pt>
                <c:pt idx="29">
                  <c:v>5.4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9F72-40A5-B011-46C25C2E458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14228968"/>
        <c:axId val="314228184"/>
      </c:barChart>
      <c:catAx>
        <c:axId val="31422896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low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14228184"/>
        <c:crosses val="autoZero"/>
        <c:auto val="1"/>
        <c:lblAlgn val="ctr"/>
        <c:lblOffset val="100"/>
        <c:noMultiLvlLbl val="0"/>
      </c:catAx>
      <c:valAx>
        <c:axId val="314228184"/>
        <c:scaling>
          <c:orientation val="minMax"/>
        </c:scaling>
        <c:delete val="0"/>
        <c:axPos val="b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1422896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Pakiet 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Pakiet 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Pakiet 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Pakiet 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Pakiet 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Pakiet 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3.xml><?xml version="1.0" encoding="utf-8"?>
<a:themeOverride xmlns:a="http://schemas.openxmlformats.org/drawingml/2006/main">
  <a:clrScheme name="Pakiet 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Pakiet 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Pakiet 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019EF5-FD96-420B-8C98-2F84F54F8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566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23</vt:lpstr>
    </vt:vector>
  </TitlesOfParts>
  <Company>Hewlett-Packard</Company>
  <LinksUpToDate>false</LinksUpToDate>
  <CharactersWithSpaces>3786</CharactersWithSpaces>
  <SharedDoc>false</SharedDoc>
  <HLinks>
    <vt:vector size="36" baseType="variant">
      <vt:variant>
        <vt:i4>1048592</vt:i4>
      </vt:variant>
      <vt:variant>
        <vt:i4>15</vt:i4>
      </vt:variant>
      <vt:variant>
        <vt:i4>0</vt:i4>
      </vt:variant>
      <vt:variant>
        <vt:i4>5</vt:i4>
      </vt:variant>
      <vt:variant>
        <vt:lpwstr>http://www.wynagrodzenia.pl/</vt:lpwstr>
      </vt:variant>
      <vt:variant>
        <vt:lpwstr/>
      </vt:variant>
      <vt:variant>
        <vt:i4>262217</vt:i4>
      </vt:variant>
      <vt:variant>
        <vt:i4>12</vt:i4>
      </vt:variant>
      <vt:variant>
        <vt:i4>0</vt:i4>
      </vt:variant>
      <vt:variant>
        <vt:i4>5</vt:i4>
      </vt:variant>
      <vt:variant>
        <vt:lpwstr>http://www.wynagrodzenia.pl/obw.php/p.118</vt:lpwstr>
      </vt:variant>
      <vt:variant>
        <vt:lpwstr/>
      </vt:variant>
      <vt:variant>
        <vt:i4>262217</vt:i4>
      </vt:variant>
      <vt:variant>
        <vt:i4>9</vt:i4>
      </vt:variant>
      <vt:variant>
        <vt:i4>0</vt:i4>
      </vt:variant>
      <vt:variant>
        <vt:i4>5</vt:i4>
      </vt:variant>
      <vt:variant>
        <vt:lpwstr>http://www.wynagrodzenia.pl/obw.php/p.118</vt:lpwstr>
      </vt:variant>
      <vt:variant>
        <vt:lpwstr/>
      </vt:variant>
      <vt:variant>
        <vt:i4>6684737</vt:i4>
      </vt:variant>
      <vt:variant>
        <vt:i4>6</vt:i4>
      </vt:variant>
      <vt:variant>
        <vt:i4>0</vt:i4>
      </vt:variant>
      <vt:variant>
        <vt:i4>5</vt:i4>
      </vt:variant>
      <vt:variant>
        <vt:lpwstr>http://wynagrodzenia.pl/raporty_1.php/wpis.97</vt:lpwstr>
      </vt:variant>
      <vt:variant>
        <vt:lpwstr/>
      </vt:variant>
      <vt:variant>
        <vt:i4>6684737</vt:i4>
      </vt:variant>
      <vt:variant>
        <vt:i4>3</vt:i4>
      </vt:variant>
      <vt:variant>
        <vt:i4>0</vt:i4>
      </vt:variant>
      <vt:variant>
        <vt:i4>5</vt:i4>
      </vt:variant>
      <vt:variant>
        <vt:lpwstr>http://wynagrodzenia.pl/raporty_1.php/wpis.97</vt:lpwstr>
      </vt:variant>
      <vt:variant>
        <vt:lpwstr/>
      </vt:variant>
      <vt:variant>
        <vt:i4>4063252</vt:i4>
      </vt:variant>
      <vt:variant>
        <vt:i4>0</vt:i4>
      </vt:variant>
      <vt:variant>
        <vt:i4>0</vt:i4>
      </vt:variant>
      <vt:variant>
        <vt:i4>5</vt:i4>
      </vt:variant>
      <vt:variant>
        <vt:lpwstr>mailto:witek@sedlak.pl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23</dc:title>
  <dc:creator>Małgorzata Sikora</dc:creator>
  <cp:lastModifiedBy>Patrycja Małek</cp:lastModifiedBy>
  <cp:revision>4</cp:revision>
  <cp:lastPrinted>2019-11-29T14:38:00Z</cp:lastPrinted>
  <dcterms:created xsi:type="dcterms:W3CDTF">2019-11-29T14:38:00Z</dcterms:created>
  <dcterms:modified xsi:type="dcterms:W3CDTF">2019-11-29T14:49:00Z</dcterms:modified>
</cp:coreProperties>
</file>