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5463F9"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16.08</w:t>
      </w:r>
      <w:r w:rsidR="00881459">
        <w:rPr>
          <w:rFonts w:asciiTheme="minorHAnsi" w:hAnsiTheme="minorHAnsi"/>
          <w:b w:val="0"/>
          <w:bCs w:val="0"/>
          <w:sz w:val="20"/>
        </w:rPr>
        <w:t>.2016</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r w:rsidRPr="00A217F4">
        <w:rPr>
          <w:rFonts w:asciiTheme="minorHAnsi" w:hAnsiTheme="minorHAnsi" w:cs="Arial"/>
          <w:b w:val="0"/>
          <w:bCs w:val="0"/>
          <w:sz w:val="22"/>
          <w:szCs w:val="22"/>
        </w:rPr>
        <w:t xml:space="preserve"> </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14:anchorId="60798EDB" wp14:editId="326A5B19">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FB796D" w:rsidRPr="00A217F4" w:rsidRDefault="00FB796D" w:rsidP="00BC1378">
      <w:pPr>
        <w:pStyle w:val="Tekstpodstawowy2"/>
        <w:tabs>
          <w:tab w:val="left" w:pos="7560"/>
        </w:tabs>
        <w:spacing w:line="276" w:lineRule="auto"/>
        <w:rPr>
          <w:rFonts w:asciiTheme="minorHAnsi" w:hAnsiTheme="minorHAnsi"/>
          <w:b/>
          <w:bCs/>
        </w:rPr>
      </w:pPr>
      <w:r>
        <w:rPr>
          <w:rFonts w:asciiTheme="minorHAnsi" w:hAnsiTheme="minorHAnsi"/>
          <w:b/>
          <w:bCs/>
        </w:rPr>
        <w:t>Konrad Akowacz</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FB796D">
        <w:rPr>
          <w:rFonts w:asciiTheme="minorHAnsi" w:hAnsiTheme="minorHAnsi"/>
        </w:rPr>
        <w:t>511 057</w:t>
      </w:r>
      <w:r w:rsidR="00BE15EA" w:rsidRPr="00A217F4">
        <w:rPr>
          <w:rFonts w:asciiTheme="minorHAnsi" w:hAnsiTheme="minorHAnsi"/>
        </w:rPr>
        <w:t> </w:t>
      </w:r>
      <w:r w:rsidR="00FB796D">
        <w:rPr>
          <w:rFonts w:asciiTheme="minorHAnsi" w:hAnsiTheme="minorHAnsi"/>
        </w:rPr>
        <w:t>700</w:t>
      </w:r>
    </w:p>
    <w:p w:rsidR="006D03DA" w:rsidRDefault="002D74D8"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r w:rsidR="006D03DA" w:rsidRPr="00A217F4">
        <w:rPr>
          <w:rFonts w:asciiTheme="minorHAnsi" w:hAnsiTheme="minorHAnsi" w:cs="Arial"/>
          <w:b w:val="0"/>
          <w:color w:val="000080"/>
          <w:sz w:val="20"/>
        </w:rPr>
        <w:t xml:space="preserve"> </w:t>
      </w:r>
    </w:p>
    <w:p w:rsidR="00681531" w:rsidRDefault="00681531"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681531" w:rsidRPr="00A217F4" w:rsidRDefault="00681531"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681531" w:rsidRPr="00681531" w:rsidRDefault="00681531" w:rsidP="00681531">
      <w:pPr>
        <w:jc w:val="center"/>
        <w:rPr>
          <w:rFonts w:asciiTheme="minorHAnsi" w:hAnsiTheme="minorHAnsi"/>
          <w:b/>
          <w:color w:val="1F497D" w:themeColor="text2"/>
          <w:sz w:val="40"/>
        </w:rPr>
      </w:pPr>
      <w:r w:rsidRPr="00681531">
        <w:rPr>
          <w:rFonts w:asciiTheme="minorHAnsi" w:hAnsiTheme="minorHAnsi"/>
          <w:b/>
          <w:color w:val="1F497D" w:themeColor="text2"/>
          <w:sz w:val="40"/>
        </w:rPr>
        <w:t>Ile zarabiają prezesi spółek giełdowych?</w:t>
      </w:r>
    </w:p>
    <w:p w:rsidR="00681531" w:rsidRPr="00681531" w:rsidRDefault="00681531" w:rsidP="00681531">
      <w:pPr>
        <w:jc w:val="both"/>
        <w:rPr>
          <w:rFonts w:asciiTheme="minorHAnsi" w:hAnsiTheme="minorHAnsi"/>
        </w:rPr>
      </w:pPr>
    </w:p>
    <w:p w:rsidR="00681531" w:rsidRPr="00681531" w:rsidRDefault="00681531" w:rsidP="00681531">
      <w:pPr>
        <w:jc w:val="both"/>
        <w:rPr>
          <w:rFonts w:asciiTheme="minorHAnsi" w:hAnsiTheme="minorHAnsi"/>
        </w:rPr>
      </w:pPr>
    </w:p>
    <w:p w:rsidR="00681531" w:rsidRPr="00681531" w:rsidRDefault="00681531" w:rsidP="00681531">
      <w:pPr>
        <w:jc w:val="both"/>
        <w:rPr>
          <w:rFonts w:asciiTheme="minorHAnsi" w:hAnsiTheme="minorHAnsi"/>
        </w:rPr>
      </w:pPr>
      <w:r w:rsidRPr="00681531">
        <w:rPr>
          <w:rFonts w:asciiTheme="minorHAnsi" w:hAnsiTheme="minorHAnsi"/>
        </w:rPr>
        <w:t xml:space="preserve">Stanowisko prezesa zarządu jest najważniejszym w hierarchii każdej spółki. </w:t>
      </w:r>
      <w:r w:rsidRPr="00681531">
        <w:rPr>
          <w:rFonts w:asciiTheme="minorHAnsi" w:hAnsiTheme="minorHAnsi"/>
        </w:rPr>
        <w:br/>
        <w:t xml:space="preserve">To on odpowiada za wyniki całej organizacji i jest rozliczany z ich realizacji przez właścicieli spółki, czyli akcjonariuszy. W niniejszy artykule zostaną zaprezentowane analizy wynagrodzeń prezesów zarządów spółek notowanych na GPW w 2015 roku. Wszystkie dane pochodzą z raportu opracowanego przez Sedlak </w:t>
      </w:r>
      <w:r w:rsidRPr="00681531">
        <w:rPr>
          <w:rFonts w:asciiTheme="minorHAnsi" w:hAnsiTheme="minorHAnsi"/>
          <w:sz w:val="18"/>
        </w:rPr>
        <w:t>&amp;</w:t>
      </w:r>
      <w:r w:rsidRPr="00681531">
        <w:rPr>
          <w:rFonts w:asciiTheme="minorHAnsi" w:hAnsiTheme="minorHAnsi"/>
        </w:rPr>
        <w:t xml:space="preserve"> Sedlak.</w:t>
      </w:r>
    </w:p>
    <w:p w:rsidR="00681531" w:rsidRPr="00681531" w:rsidRDefault="00681531" w:rsidP="00681531">
      <w:pPr>
        <w:jc w:val="both"/>
        <w:rPr>
          <w:rFonts w:asciiTheme="minorHAnsi" w:hAnsiTheme="minorHAnsi"/>
        </w:rPr>
      </w:pPr>
    </w:p>
    <w:p w:rsidR="00681531" w:rsidRPr="00681531" w:rsidRDefault="00681531" w:rsidP="00681531">
      <w:pPr>
        <w:jc w:val="both"/>
        <w:rPr>
          <w:rFonts w:asciiTheme="minorHAnsi" w:hAnsiTheme="minorHAnsi"/>
          <w:b/>
          <w:color w:val="1F497D" w:themeColor="text2"/>
          <w:sz w:val="26"/>
          <w:szCs w:val="26"/>
        </w:rPr>
      </w:pPr>
      <w:r w:rsidRPr="00681531">
        <w:rPr>
          <w:rFonts w:asciiTheme="minorHAnsi" w:hAnsiTheme="minorHAnsi"/>
          <w:b/>
          <w:color w:val="1F497D" w:themeColor="text2"/>
          <w:sz w:val="26"/>
          <w:szCs w:val="26"/>
        </w:rPr>
        <w:t>Prezesi bez podwyżek</w:t>
      </w:r>
    </w:p>
    <w:p w:rsidR="00681531" w:rsidRPr="00681531" w:rsidRDefault="00681531" w:rsidP="00681531">
      <w:pPr>
        <w:jc w:val="both"/>
        <w:rPr>
          <w:rFonts w:asciiTheme="minorHAnsi" w:hAnsiTheme="minorHAnsi"/>
        </w:rPr>
      </w:pPr>
      <w:r w:rsidRPr="00681531">
        <w:rPr>
          <w:rFonts w:asciiTheme="minorHAnsi" w:hAnsiTheme="minorHAnsi"/>
        </w:rPr>
        <w:t>W 2015 roku mediana rocznych wynagrodzeń prezesów zarządów wyniosła 601 tys. PLN i w porównaniu</w:t>
      </w:r>
      <w:r w:rsidRPr="00681531">
        <w:rPr>
          <w:rFonts w:asciiTheme="minorHAnsi" w:hAnsiTheme="minorHAnsi"/>
          <w:sz w:val="28"/>
        </w:rPr>
        <w:t xml:space="preserve"> </w:t>
      </w:r>
      <w:r w:rsidRPr="00681531">
        <w:rPr>
          <w:rFonts w:asciiTheme="minorHAnsi" w:hAnsiTheme="minorHAnsi"/>
        </w:rPr>
        <w:t xml:space="preserve">do roku 2014 była na porównywalnym poziomie. Co czwarta osoba otrzymała pensję w wysokości co najmniej 1,15 mln PLN, natomiast 10% najlepiej opłacanych prezesów zarobiło ponad 2 mln PLN. </w:t>
      </w:r>
    </w:p>
    <w:p w:rsidR="00681531" w:rsidRPr="00681531" w:rsidRDefault="00681531" w:rsidP="00681531">
      <w:pPr>
        <w:jc w:val="both"/>
        <w:rPr>
          <w:rFonts w:asciiTheme="minorHAnsi" w:hAnsiTheme="minorHAnsi"/>
        </w:rPr>
      </w:pPr>
    </w:p>
    <w:p w:rsidR="00681531" w:rsidRPr="00681531" w:rsidRDefault="00681531" w:rsidP="00681531">
      <w:pPr>
        <w:jc w:val="both"/>
        <w:rPr>
          <w:rFonts w:asciiTheme="minorHAnsi" w:hAnsiTheme="minorHAnsi"/>
        </w:rPr>
      </w:pPr>
    </w:p>
    <w:p w:rsidR="00681531" w:rsidRPr="00681531" w:rsidRDefault="00681531" w:rsidP="00681531">
      <w:pPr>
        <w:jc w:val="center"/>
        <w:rPr>
          <w:rFonts w:asciiTheme="minorHAnsi" w:hAnsiTheme="minorHAnsi"/>
          <w:b/>
          <w:color w:val="1F497D" w:themeColor="text2"/>
        </w:rPr>
      </w:pPr>
      <w:r w:rsidRPr="00681531">
        <w:rPr>
          <w:rFonts w:asciiTheme="minorHAnsi" w:hAnsiTheme="minorHAnsi"/>
          <w:b/>
          <w:noProof/>
          <w:color w:val="1F497D" w:themeColor="text2"/>
          <w:lang w:eastAsia="pl-PL"/>
        </w:rPr>
        <w:drawing>
          <wp:anchor distT="0" distB="0" distL="114300" distR="114300" simplePos="0" relativeHeight="251656192" behindDoc="0" locked="0" layoutInCell="1" allowOverlap="1" wp14:anchorId="37BC5A29" wp14:editId="4FDBB00F">
            <wp:simplePos x="0" y="0"/>
            <wp:positionH relativeFrom="column">
              <wp:posOffset>-1270</wp:posOffset>
            </wp:positionH>
            <wp:positionV relativeFrom="paragraph">
              <wp:posOffset>298450</wp:posOffset>
            </wp:positionV>
            <wp:extent cx="5486400" cy="843915"/>
            <wp:effectExtent l="0" t="0" r="19050" b="13335"/>
            <wp:wrapTight wrapText="bothSides">
              <wp:wrapPolygon edited="0">
                <wp:start x="0" y="0"/>
                <wp:lineTo x="0" y="21454"/>
                <wp:lineTo x="21600" y="21454"/>
                <wp:lineTo x="21600" y="0"/>
                <wp:lineTo x="0" y="0"/>
              </wp:wrapPolygon>
            </wp:wrapTight>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V relativeFrom="margin">
              <wp14:pctHeight>0</wp14:pctHeight>
            </wp14:sizeRelV>
          </wp:anchor>
        </w:drawing>
      </w:r>
      <w:r w:rsidRPr="00681531">
        <w:rPr>
          <w:rFonts w:asciiTheme="minorHAnsi" w:hAnsiTheme="minorHAnsi"/>
          <w:b/>
          <w:color w:val="1F497D" w:themeColor="text2"/>
        </w:rPr>
        <w:t>Wykres 1. Roczne wynagrodzenia prezesów zarządów w 2015 roku</w:t>
      </w:r>
    </w:p>
    <w:p w:rsidR="00681531" w:rsidRPr="00681531" w:rsidRDefault="00681531" w:rsidP="00681531">
      <w:pPr>
        <w:jc w:val="center"/>
        <w:rPr>
          <w:rFonts w:asciiTheme="minorHAnsi" w:hAnsiTheme="minorHAnsi"/>
          <w:i/>
          <w:sz w:val="20"/>
        </w:rPr>
      </w:pPr>
      <w:r w:rsidRPr="00681531">
        <w:rPr>
          <w:rFonts w:asciiTheme="minorHAnsi" w:hAnsiTheme="minorHAnsi"/>
          <w:i/>
          <w:sz w:val="20"/>
        </w:rPr>
        <w:t xml:space="preserve">Źródło: Raport „Wynagrodzenia członków zarządów w 2015 roku”, Sedlak </w:t>
      </w:r>
      <w:r w:rsidRPr="00681531">
        <w:rPr>
          <w:rFonts w:asciiTheme="minorHAnsi" w:hAnsiTheme="minorHAnsi"/>
          <w:i/>
          <w:sz w:val="18"/>
        </w:rPr>
        <w:t>&amp;</w:t>
      </w:r>
      <w:r w:rsidRPr="00681531">
        <w:rPr>
          <w:rFonts w:asciiTheme="minorHAnsi" w:hAnsiTheme="minorHAnsi"/>
          <w:i/>
          <w:sz w:val="20"/>
        </w:rPr>
        <w:t xml:space="preserve"> Sedlak</w:t>
      </w:r>
    </w:p>
    <w:p w:rsidR="00681531" w:rsidRDefault="00681531" w:rsidP="00681531">
      <w:pPr>
        <w:rPr>
          <w:rFonts w:asciiTheme="minorHAnsi" w:hAnsiTheme="minorHAnsi"/>
          <w:i/>
        </w:rPr>
      </w:pPr>
    </w:p>
    <w:p w:rsidR="002D74D8" w:rsidRPr="00681531" w:rsidRDefault="002D74D8" w:rsidP="00681531">
      <w:pPr>
        <w:rPr>
          <w:rFonts w:asciiTheme="minorHAnsi" w:hAnsiTheme="minorHAnsi"/>
          <w:i/>
        </w:rPr>
      </w:pPr>
    </w:p>
    <w:p w:rsidR="00681531" w:rsidRPr="00681531" w:rsidRDefault="00681531" w:rsidP="00681531">
      <w:pPr>
        <w:rPr>
          <w:rFonts w:asciiTheme="minorHAnsi" w:hAnsiTheme="minorHAnsi"/>
          <w:b/>
          <w:color w:val="1F497D" w:themeColor="text2"/>
          <w:sz w:val="26"/>
          <w:szCs w:val="26"/>
        </w:rPr>
      </w:pPr>
      <w:r w:rsidRPr="00681531">
        <w:rPr>
          <w:rFonts w:asciiTheme="minorHAnsi" w:hAnsiTheme="minorHAnsi"/>
          <w:b/>
          <w:color w:val="1F497D" w:themeColor="text2"/>
          <w:sz w:val="26"/>
          <w:szCs w:val="26"/>
        </w:rPr>
        <w:t>Czy prezesi są wynagradzani za wyniki?</w:t>
      </w:r>
    </w:p>
    <w:p w:rsidR="00681531" w:rsidRDefault="00681531" w:rsidP="00681531">
      <w:pPr>
        <w:pStyle w:val="Tekstpodstawowy"/>
        <w:rPr>
          <w:rFonts w:asciiTheme="minorHAnsi" w:hAnsiTheme="minorHAnsi"/>
          <w:b w:val="0"/>
        </w:rPr>
      </w:pPr>
      <w:r w:rsidRPr="002D74D8">
        <w:rPr>
          <w:rFonts w:asciiTheme="minorHAnsi" w:hAnsiTheme="minorHAnsi"/>
          <w:b w:val="0"/>
        </w:rPr>
        <w:t xml:space="preserve">Jednym z najważniejszych kryteriów oceny rentowności spółki dla akcjonariuszy jest wskaźnik EPS mówiący ile zysku netto przyda na jedną wyemitowaną akcję spółki. Określa on nie tylko sytuację rynkową spółki, często również służy jako kryterium efektywności w programach motywacyjnych menedżerów </w:t>
      </w:r>
    </w:p>
    <w:p w:rsidR="002D74D8" w:rsidRPr="002D74D8" w:rsidRDefault="002D74D8" w:rsidP="00681531">
      <w:pPr>
        <w:pStyle w:val="Tekstpodstawowy"/>
        <w:rPr>
          <w:rFonts w:asciiTheme="minorHAnsi" w:hAnsiTheme="minorHAnsi"/>
          <w:b w:val="0"/>
        </w:rPr>
      </w:pPr>
    </w:p>
    <w:p w:rsidR="00681531" w:rsidRDefault="00681531" w:rsidP="00681531">
      <w:pPr>
        <w:jc w:val="both"/>
        <w:rPr>
          <w:rFonts w:asciiTheme="minorHAnsi" w:hAnsiTheme="minorHAnsi"/>
        </w:rPr>
      </w:pPr>
      <w:r w:rsidRPr="00681531">
        <w:rPr>
          <w:rFonts w:asciiTheme="minorHAnsi" w:hAnsiTheme="minorHAnsi"/>
        </w:rPr>
        <w:t xml:space="preserve">Na wykresie poniżej zaprezentowano wynagrodzenia prezesów zarządów w spółkach o różnej wielkości EPS. Z przeprowadzonych analiz wynika, iż </w:t>
      </w:r>
      <w:r w:rsidRPr="00681531">
        <w:rPr>
          <w:rFonts w:asciiTheme="minorHAnsi" w:hAnsiTheme="minorHAnsi"/>
        </w:rPr>
        <w:lastRenderedPageBreak/>
        <w:t xml:space="preserve">wynagrodzenia prezesów zarządów rosły wraz ze wzrostem osiągniętego zysku na akcję. Najwyższe pensje – ponad 1,3 mln PLN – otrzymywali prezesi spółek, w których EPS był najwyższy i wyniósł 10 PLN i więcej. W spółkach o zysku na akcję wynoszącym od 2 – 9,9 PLN prezesi zarabiali o 14% mniej. Mediana ich wynagrodzeń wyniosła 1,1 mln PLN. Najniższe wynagrodzenia otrzymywali prezesi spółek w których zysk netto był ujemny – 430 tys. PLN. Zaniepokojenie inwestorów powinien budzić fakt, iż wynagrodzenia w spółkach, które generują straty były tylko o 17% niższe od wynagrodzeń w spółkach, które osiągnęły najniższy poziom zysków. </w:t>
      </w:r>
    </w:p>
    <w:p w:rsidR="00681531" w:rsidRDefault="00681531" w:rsidP="00681531">
      <w:pPr>
        <w:jc w:val="both"/>
        <w:rPr>
          <w:rFonts w:asciiTheme="minorHAnsi" w:hAnsiTheme="minorHAnsi"/>
        </w:rPr>
      </w:pPr>
    </w:p>
    <w:p w:rsidR="00681531" w:rsidRPr="00681531" w:rsidRDefault="00681531" w:rsidP="00681531">
      <w:pPr>
        <w:jc w:val="center"/>
        <w:rPr>
          <w:rFonts w:asciiTheme="minorHAnsi" w:hAnsiTheme="minorHAnsi"/>
          <w:b/>
          <w:color w:val="1F497D" w:themeColor="text2"/>
        </w:rPr>
      </w:pPr>
      <w:r w:rsidRPr="00681531">
        <w:rPr>
          <w:rFonts w:asciiTheme="minorHAnsi" w:hAnsiTheme="minorHAnsi"/>
          <w:b/>
          <w:color w:val="1F497D" w:themeColor="text2"/>
        </w:rPr>
        <w:t>Wykres 2. Wynagrodzenia prezesów zarządów w spółkach różnej wielkości wskaźnika EPS (osoby, które przepracowały cały rok)</w:t>
      </w:r>
    </w:p>
    <w:p w:rsidR="00681531" w:rsidRPr="00681531" w:rsidRDefault="00681531" w:rsidP="00681531">
      <w:pPr>
        <w:jc w:val="center"/>
        <w:rPr>
          <w:rFonts w:asciiTheme="minorHAnsi" w:hAnsiTheme="minorHAnsi"/>
        </w:rPr>
      </w:pPr>
      <w:r w:rsidRPr="00681531">
        <w:rPr>
          <w:rFonts w:asciiTheme="minorHAnsi" w:hAnsiTheme="minorHAnsi"/>
          <w:noProof/>
          <w:lang w:eastAsia="pl-PL"/>
        </w:rPr>
        <w:drawing>
          <wp:inline distT="0" distB="0" distL="0" distR="0" wp14:anchorId="46861407" wp14:editId="20BB2F55">
            <wp:extent cx="4572000" cy="2743200"/>
            <wp:effectExtent l="0" t="0" r="0" b="0"/>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81531" w:rsidRPr="00681531" w:rsidRDefault="00681531" w:rsidP="00681531">
      <w:pPr>
        <w:jc w:val="center"/>
        <w:rPr>
          <w:rFonts w:asciiTheme="minorHAnsi" w:hAnsiTheme="minorHAnsi"/>
          <w:i/>
          <w:sz w:val="20"/>
        </w:rPr>
      </w:pPr>
      <w:r w:rsidRPr="00681531">
        <w:rPr>
          <w:rFonts w:asciiTheme="minorHAnsi" w:hAnsiTheme="minorHAnsi"/>
          <w:i/>
          <w:sz w:val="20"/>
        </w:rPr>
        <w:t xml:space="preserve">Źródło: Raport „Wynagrodzenia członków zarządów w 2015 roku”, Sedlak </w:t>
      </w:r>
      <w:r w:rsidRPr="00681531">
        <w:rPr>
          <w:rFonts w:asciiTheme="minorHAnsi" w:hAnsiTheme="minorHAnsi"/>
          <w:i/>
          <w:sz w:val="18"/>
        </w:rPr>
        <w:t>&amp;</w:t>
      </w:r>
      <w:r w:rsidRPr="00681531">
        <w:rPr>
          <w:rFonts w:asciiTheme="minorHAnsi" w:hAnsiTheme="minorHAnsi"/>
          <w:i/>
          <w:sz w:val="20"/>
        </w:rPr>
        <w:t xml:space="preserve"> Sedlak</w:t>
      </w:r>
    </w:p>
    <w:p w:rsidR="00681531" w:rsidRPr="00681531" w:rsidRDefault="00681531" w:rsidP="00681531">
      <w:pPr>
        <w:rPr>
          <w:rFonts w:asciiTheme="minorHAnsi" w:hAnsiTheme="minorHAnsi"/>
        </w:rPr>
      </w:pPr>
    </w:p>
    <w:p w:rsidR="00681531" w:rsidRPr="00681531" w:rsidRDefault="00681531" w:rsidP="00681531">
      <w:pPr>
        <w:rPr>
          <w:rFonts w:asciiTheme="minorHAnsi" w:hAnsiTheme="minorHAnsi"/>
        </w:rPr>
      </w:pPr>
    </w:p>
    <w:p w:rsidR="00681531" w:rsidRPr="00681531" w:rsidRDefault="00681531" w:rsidP="00681531">
      <w:pPr>
        <w:rPr>
          <w:rFonts w:asciiTheme="minorHAnsi" w:hAnsiTheme="minorHAnsi"/>
          <w:b/>
          <w:color w:val="1F497D" w:themeColor="text2"/>
          <w:sz w:val="26"/>
          <w:szCs w:val="26"/>
        </w:rPr>
      </w:pPr>
      <w:r w:rsidRPr="00681531">
        <w:rPr>
          <w:rFonts w:asciiTheme="minorHAnsi" w:hAnsiTheme="minorHAnsi"/>
          <w:b/>
          <w:color w:val="1F497D" w:themeColor="text2"/>
          <w:sz w:val="26"/>
          <w:szCs w:val="26"/>
        </w:rPr>
        <w:t>Wynagrodzenia prezesów w spółkach z różnych branżach</w:t>
      </w:r>
    </w:p>
    <w:p w:rsidR="00681531" w:rsidRDefault="00681531" w:rsidP="00681531">
      <w:pPr>
        <w:jc w:val="both"/>
        <w:rPr>
          <w:rFonts w:asciiTheme="minorHAnsi" w:hAnsiTheme="minorHAnsi"/>
        </w:rPr>
      </w:pPr>
      <w:r w:rsidRPr="00681531">
        <w:rPr>
          <w:rFonts w:asciiTheme="minorHAnsi" w:hAnsiTheme="minorHAnsi"/>
        </w:rPr>
        <w:t xml:space="preserve">Najwyższe pensje otrzymywali zarządzający bankami, mediana ich rocznych zarobków wyniosła prawie 3 mln PLN. Na drugim miejscu w rankingu uplasowali się prezesi spółek z branży chemicznej, a na trzecim z branży motoryzacyjnej. Zarobili oni odpowiednio, 1,26 mln PLN i 1,21 mln PLN. Najniższe pensje otrzymały osoby pełniące funkcje prezesa zarządu w spółkach sektora finansowego – 364 tys. PLN. Ich pensje były 8 razy niższe niż wynagrodzenia prezesów banków. </w:t>
      </w:r>
    </w:p>
    <w:p w:rsidR="00681531" w:rsidRDefault="00681531" w:rsidP="00681531">
      <w:r>
        <w:br w:type="page"/>
      </w:r>
    </w:p>
    <w:p w:rsidR="00681531" w:rsidRPr="00681531" w:rsidRDefault="00681531" w:rsidP="00681531">
      <w:pPr>
        <w:jc w:val="both"/>
        <w:rPr>
          <w:rFonts w:asciiTheme="minorHAnsi" w:hAnsiTheme="minorHAnsi"/>
        </w:rPr>
      </w:pPr>
    </w:p>
    <w:p w:rsidR="00681531" w:rsidRPr="00681531" w:rsidRDefault="00681531" w:rsidP="00681531">
      <w:pPr>
        <w:jc w:val="both"/>
        <w:rPr>
          <w:rFonts w:asciiTheme="minorHAnsi" w:hAnsiTheme="minorHAnsi"/>
        </w:rPr>
      </w:pPr>
    </w:p>
    <w:p w:rsidR="00681531" w:rsidRPr="00681531" w:rsidRDefault="00681531" w:rsidP="00681531">
      <w:pPr>
        <w:jc w:val="center"/>
        <w:rPr>
          <w:rFonts w:asciiTheme="minorHAnsi" w:hAnsiTheme="minorHAnsi"/>
          <w:b/>
          <w:color w:val="1F497D" w:themeColor="text2"/>
        </w:rPr>
      </w:pPr>
      <w:r w:rsidRPr="00681531">
        <w:rPr>
          <w:rFonts w:asciiTheme="minorHAnsi" w:hAnsiTheme="minorHAnsi"/>
          <w:b/>
          <w:color w:val="1F497D" w:themeColor="text2"/>
        </w:rPr>
        <w:t>Tabela 1. Wynagrodzenia prezesów zarządów w spółkach z różnych branż</w:t>
      </w:r>
    </w:p>
    <w:tbl>
      <w:tblPr>
        <w:tblStyle w:val="Tabela-Siatka"/>
        <w:tblW w:w="9454"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ayout w:type="fixed"/>
        <w:tblLook w:val="04A0" w:firstRow="1" w:lastRow="0" w:firstColumn="1" w:lastColumn="0" w:noHBand="0" w:noVBand="1"/>
      </w:tblPr>
      <w:tblGrid>
        <w:gridCol w:w="562"/>
        <w:gridCol w:w="1418"/>
        <w:gridCol w:w="3123"/>
        <w:gridCol w:w="4351"/>
      </w:tblGrid>
      <w:tr w:rsidR="00681531" w:rsidRPr="00681531" w:rsidTr="00780CA3">
        <w:trPr>
          <w:trHeight w:val="737"/>
        </w:trPr>
        <w:tc>
          <w:tcPr>
            <w:tcW w:w="562" w:type="dxa"/>
            <w:tcBorders>
              <w:bottom w:val="single" w:sz="4" w:space="0" w:color="BFBFBF" w:themeColor="background1" w:themeShade="BF"/>
            </w:tcBorders>
            <w:vAlign w:val="center"/>
          </w:tcPr>
          <w:p w:rsidR="00681531" w:rsidRPr="00681531" w:rsidRDefault="00681531" w:rsidP="00780CA3">
            <w:pPr>
              <w:jc w:val="center"/>
              <w:rPr>
                <w:rFonts w:asciiTheme="minorHAnsi" w:hAnsiTheme="minorHAnsi"/>
                <w:b/>
                <w:color w:val="31849B" w:themeColor="accent5" w:themeShade="BF"/>
                <w:sz w:val="28"/>
                <w:szCs w:val="28"/>
              </w:rPr>
            </w:pPr>
          </w:p>
        </w:tc>
        <w:tc>
          <w:tcPr>
            <w:tcW w:w="4541" w:type="dxa"/>
            <w:gridSpan w:val="2"/>
            <w:tcBorders>
              <w:bottom w:val="single" w:sz="4" w:space="0" w:color="BFBFBF" w:themeColor="background1" w:themeShade="BF"/>
            </w:tcBorders>
            <w:vAlign w:val="center"/>
          </w:tcPr>
          <w:p w:rsidR="00681531" w:rsidRPr="00681531" w:rsidRDefault="00681531" w:rsidP="00780CA3">
            <w:pPr>
              <w:jc w:val="center"/>
              <w:rPr>
                <w:rFonts w:asciiTheme="minorHAnsi" w:hAnsiTheme="minorHAnsi"/>
                <w:b/>
                <w:color w:val="31849B" w:themeColor="accent5" w:themeShade="BF"/>
                <w:sz w:val="28"/>
                <w:szCs w:val="28"/>
              </w:rPr>
            </w:pPr>
            <w:r w:rsidRPr="00681531">
              <w:rPr>
                <w:rFonts w:asciiTheme="minorHAnsi" w:hAnsiTheme="minorHAnsi"/>
                <w:b/>
                <w:color w:val="31849B" w:themeColor="accent5" w:themeShade="BF"/>
                <w:sz w:val="28"/>
                <w:szCs w:val="28"/>
              </w:rPr>
              <w:t>branża</w:t>
            </w:r>
          </w:p>
        </w:tc>
        <w:tc>
          <w:tcPr>
            <w:tcW w:w="4351" w:type="dxa"/>
            <w:tcBorders>
              <w:bottom w:val="single" w:sz="4" w:space="0" w:color="BFBFBF" w:themeColor="background1" w:themeShade="BF"/>
            </w:tcBorders>
            <w:vAlign w:val="center"/>
          </w:tcPr>
          <w:p w:rsidR="00681531" w:rsidRPr="00681531" w:rsidRDefault="00681531" w:rsidP="00780CA3">
            <w:pPr>
              <w:jc w:val="center"/>
              <w:rPr>
                <w:rFonts w:asciiTheme="minorHAnsi" w:hAnsiTheme="minorHAnsi"/>
                <w:b/>
                <w:color w:val="31849B" w:themeColor="accent5" w:themeShade="BF"/>
                <w:sz w:val="28"/>
                <w:szCs w:val="28"/>
              </w:rPr>
            </w:pPr>
            <w:r w:rsidRPr="00681531">
              <w:rPr>
                <w:rFonts w:asciiTheme="minorHAnsi" w:hAnsiTheme="minorHAnsi"/>
                <w:b/>
                <w:color w:val="31849B" w:themeColor="accent5" w:themeShade="BF"/>
                <w:sz w:val="28"/>
                <w:szCs w:val="28"/>
              </w:rPr>
              <w:t xml:space="preserve">mediana wynagrodzeń </w:t>
            </w:r>
            <w:r w:rsidRPr="00681531">
              <w:rPr>
                <w:rFonts w:asciiTheme="minorHAnsi" w:hAnsiTheme="minorHAnsi"/>
                <w:b/>
                <w:color w:val="31849B" w:themeColor="accent5" w:themeShade="BF"/>
                <w:sz w:val="28"/>
                <w:szCs w:val="28"/>
              </w:rPr>
              <w:br/>
              <w:t>prezesów zarządów</w:t>
            </w:r>
          </w:p>
        </w:tc>
      </w:tr>
      <w:tr w:rsidR="00681531" w:rsidRPr="00681531" w:rsidTr="00780CA3">
        <w:trPr>
          <w:trHeight w:val="737"/>
        </w:trPr>
        <w:tc>
          <w:tcPr>
            <w:tcW w:w="562" w:type="dxa"/>
            <w:tcBorders>
              <w:bottom w:val="nil"/>
            </w:tcBorders>
            <w:vAlign w:val="center"/>
          </w:tcPr>
          <w:p w:rsidR="00681531" w:rsidRPr="00681531" w:rsidRDefault="00681531" w:rsidP="00780CA3">
            <w:pPr>
              <w:jc w:val="center"/>
              <w:rPr>
                <w:rFonts w:asciiTheme="minorHAnsi" w:eastAsiaTheme="minorEastAsia" w:hAnsiTheme="minorHAnsi"/>
                <w:b/>
                <w:noProof/>
                <w:color w:val="77C3D8"/>
                <w:sz w:val="44"/>
                <w:lang w:eastAsia="pl-PL"/>
              </w:rPr>
            </w:pPr>
            <w:r w:rsidRPr="00681531">
              <w:rPr>
                <w:rFonts w:asciiTheme="minorHAnsi" w:eastAsiaTheme="minorEastAsia" w:hAnsiTheme="minorHAnsi"/>
                <w:b/>
                <w:noProof/>
                <w:color w:val="77C3D8"/>
                <w:sz w:val="44"/>
                <w:lang w:eastAsia="pl-PL"/>
              </w:rPr>
              <w:t>1.</w:t>
            </w:r>
          </w:p>
        </w:tc>
        <w:tc>
          <w:tcPr>
            <w:tcW w:w="1418" w:type="dxa"/>
            <w:tcBorders>
              <w:bottom w:val="nil"/>
            </w:tcBorders>
            <w:vAlign w:val="center"/>
          </w:tcPr>
          <w:p w:rsidR="00681531" w:rsidRPr="00681531" w:rsidRDefault="00681531" w:rsidP="00780CA3">
            <w:pPr>
              <w:rPr>
                <w:rFonts w:asciiTheme="minorHAnsi" w:hAnsiTheme="minorHAnsi"/>
                <w:sz w:val="28"/>
              </w:rPr>
            </w:pPr>
            <w:r w:rsidRPr="00681531">
              <w:rPr>
                <w:rFonts w:asciiTheme="minorHAnsi" w:eastAsiaTheme="minorEastAsia" w:hAnsiTheme="minorHAnsi"/>
                <w:noProof/>
                <w:sz w:val="28"/>
                <w:lang w:eastAsia="pl-P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35pt;margin-top:4.75pt;width:34.35pt;height:32.3pt;z-index:-251654144;mso-position-horizontal-relative:text;mso-position-vertical-relative:text" wrapcoords="-146 0 -146 21445 21600 21445 21600 0 -146 0">
                  <v:imagedata r:id="rId16" o:title=""/>
                  <w10:wrap type="tight"/>
                </v:shape>
                <o:OLEObject Type="Embed" ProgID="PBrush" ShapeID="_x0000_s1026" DrawAspect="Content" ObjectID="_1534053067" r:id="rId17"/>
              </w:object>
            </w:r>
          </w:p>
        </w:tc>
        <w:tc>
          <w:tcPr>
            <w:tcW w:w="3123" w:type="dxa"/>
            <w:tcBorders>
              <w:bottom w:val="nil"/>
            </w:tcBorders>
            <w:vAlign w:val="center"/>
          </w:tcPr>
          <w:p w:rsidR="00681531" w:rsidRPr="00681531" w:rsidRDefault="00681531" w:rsidP="00780CA3">
            <w:pPr>
              <w:rPr>
                <w:rFonts w:asciiTheme="minorHAnsi" w:hAnsiTheme="minorHAnsi"/>
                <w:color w:val="000000" w:themeColor="text1"/>
                <w:sz w:val="28"/>
                <w:szCs w:val="28"/>
              </w:rPr>
            </w:pPr>
            <w:r w:rsidRPr="00681531">
              <w:rPr>
                <w:rFonts w:asciiTheme="minorHAnsi" w:hAnsiTheme="minorHAnsi"/>
                <w:color w:val="000000" w:themeColor="text1"/>
                <w:sz w:val="28"/>
                <w:szCs w:val="28"/>
              </w:rPr>
              <w:t>banki</w:t>
            </w:r>
          </w:p>
        </w:tc>
        <w:tc>
          <w:tcPr>
            <w:tcW w:w="4351" w:type="dxa"/>
            <w:tcBorders>
              <w:bottom w:val="nil"/>
            </w:tcBorders>
            <w:vAlign w:val="center"/>
          </w:tcPr>
          <w:p w:rsidR="00681531" w:rsidRPr="00681531" w:rsidRDefault="00681531" w:rsidP="00780CA3">
            <w:pPr>
              <w:jc w:val="center"/>
              <w:rPr>
                <w:rFonts w:asciiTheme="minorHAnsi" w:hAnsiTheme="minorHAnsi"/>
                <w:b/>
                <w:sz w:val="28"/>
                <w:szCs w:val="28"/>
              </w:rPr>
            </w:pPr>
            <w:r w:rsidRPr="00681531">
              <w:rPr>
                <w:rFonts w:asciiTheme="minorHAnsi" w:hAnsiTheme="minorHAnsi"/>
                <w:sz w:val="28"/>
                <w:szCs w:val="28"/>
              </w:rPr>
              <w:t>2 916 941 PLN</w:t>
            </w:r>
          </w:p>
        </w:tc>
      </w:tr>
      <w:tr w:rsidR="00681531" w:rsidRPr="00681531" w:rsidTr="00780CA3">
        <w:trPr>
          <w:trHeight w:val="737"/>
        </w:trPr>
        <w:tc>
          <w:tcPr>
            <w:tcW w:w="562" w:type="dxa"/>
            <w:tcBorders>
              <w:top w:val="nil"/>
              <w:bottom w:val="nil"/>
            </w:tcBorders>
            <w:vAlign w:val="center"/>
          </w:tcPr>
          <w:p w:rsidR="00681531" w:rsidRPr="00681531" w:rsidRDefault="00681531" w:rsidP="00780CA3">
            <w:pPr>
              <w:jc w:val="center"/>
              <w:rPr>
                <w:rFonts w:asciiTheme="minorHAnsi" w:eastAsiaTheme="minorEastAsia" w:hAnsiTheme="minorHAnsi"/>
                <w:b/>
                <w:noProof/>
                <w:color w:val="77C3D8"/>
                <w:sz w:val="44"/>
                <w:lang w:eastAsia="pl-PL"/>
              </w:rPr>
            </w:pPr>
            <w:r w:rsidRPr="00681531">
              <w:rPr>
                <w:rFonts w:asciiTheme="minorHAnsi" w:eastAsiaTheme="minorEastAsia" w:hAnsiTheme="minorHAnsi"/>
                <w:b/>
                <w:noProof/>
                <w:color w:val="77C3D8"/>
                <w:sz w:val="44"/>
                <w:lang w:eastAsia="pl-PL"/>
              </w:rPr>
              <w:t>2.</w:t>
            </w:r>
          </w:p>
        </w:tc>
        <w:tc>
          <w:tcPr>
            <w:tcW w:w="1418" w:type="dxa"/>
            <w:tcBorders>
              <w:top w:val="nil"/>
              <w:bottom w:val="nil"/>
            </w:tcBorders>
            <w:vAlign w:val="center"/>
          </w:tcPr>
          <w:p w:rsidR="00681531" w:rsidRPr="00681531" w:rsidRDefault="00681531" w:rsidP="00780CA3">
            <w:pPr>
              <w:rPr>
                <w:rFonts w:asciiTheme="minorHAnsi" w:hAnsiTheme="minorHAnsi"/>
                <w:sz w:val="28"/>
              </w:rPr>
            </w:pPr>
            <w:r w:rsidRPr="00681531">
              <w:rPr>
                <w:rFonts w:asciiTheme="minorHAnsi" w:eastAsiaTheme="minorEastAsia" w:hAnsiTheme="minorHAnsi"/>
                <w:noProof/>
                <w:sz w:val="28"/>
                <w:lang w:eastAsia="pl-PL"/>
              </w:rPr>
              <w:object w:dxaOrig="1440" w:dyaOrig="1440">
                <v:shape id="_x0000_s1028" type="#_x0000_t75" style="position:absolute;margin-left:3.75pt;margin-top:4.65pt;width:21.85pt;height:29.7pt;z-index:-251652096;mso-position-horizontal-relative:text;mso-position-vertical-relative:page" wrapcoords="-200 0 -200 21453 21600 21453 21600 0 -200 0">
                  <v:imagedata r:id="rId18" o:title=""/>
                  <w10:wrap type="tight" anchory="page"/>
                </v:shape>
                <o:OLEObject Type="Embed" ProgID="PBrush" ShapeID="_x0000_s1028" DrawAspect="Content" ObjectID="_1534053068" r:id="rId19"/>
              </w:object>
            </w:r>
          </w:p>
        </w:tc>
        <w:tc>
          <w:tcPr>
            <w:tcW w:w="3123" w:type="dxa"/>
            <w:tcBorders>
              <w:top w:val="nil"/>
              <w:bottom w:val="nil"/>
            </w:tcBorders>
            <w:vAlign w:val="center"/>
          </w:tcPr>
          <w:p w:rsidR="00681531" w:rsidRPr="00681531" w:rsidRDefault="00681531" w:rsidP="00780CA3">
            <w:pPr>
              <w:rPr>
                <w:rFonts w:asciiTheme="minorHAnsi" w:hAnsiTheme="minorHAnsi"/>
                <w:color w:val="000000" w:themeColor="text1"/>
                <w:sz w:val="28"/>
                <w:szCs w:val="28"/>
              </w:rPr>
            </w:pPr>
            <w:r w:rsidRPr="00681531">
              <w:rPr>
                <w:rFonts w:asciiTheme="minorHAnsi" w:hAnsiTheme="minorHAnsi"/>
                <w:color w:val="000000" w:themeColor="text1"/>
                <w:sz w:val="28"/>
                <w:szCs w:val="28"/>
              </w:rPr>
              <w:t>przemysł chemiczny</w:t>
            </w:r>
          </w:p>
        </w:tc>
        <w:tc>
          <w:tcPr>
            <w:tcW w:w="4351" w:type="dxa"/>
            <w:tcBorders>
              <w:top w:val="nil"/>
              <w:bottom w:val="nil"/>
            </w:tcBorders>
            <w:vAlign w:val="center"/>
          </w:tcPr>
          <w:p w:rsidR="00681531" w:rsidRPr="00681531" w:rsidRDefault="00681531" w:rsidP="00780CA3">
            <w:pPr>
              <w:jc w:val="center"/>
              <w:rPr>
                <w:rFonts w:asciiTheme="minorHAnsi" w:hAnsiTheme="minorHAnsi"/>
                <w:b/>
                <w:sz w:val="28"/>
                <w:szCs w:val="28"/>
              </w:rPr>
            </w:pPr>
            <w:r w:rsidRPr="00681531">
              <w:rPr>
                <w:rFonts w:asciiTheme="minorHAnsi" w:hAnsiTheme="minorHAnsi"/>
                <w:sz w:val="28"/>
                <w:szCs w:val="28"/>
              </w:rPr>
              <w:t>1 258 635 PLN</w:t>
            </w:r>
          </w:p>
        </w:tc>
      </w:tr>
      <w:tr w:rsidR="00681531" w:rsidRPr="00681531" w:rsidTr="00780CA3">
        <w:trPr>
          <w:trHeight w:val="737"/>
        </w:trPr>
        <w:tc>
          <w:tcPr>
            <w:tcW w:w="562" w:type="dxa"/>
            <w:tcBorders>
              <w:top w:val="nil"/>
            </w:tcBorders>
            <w:vAlign w:val="center"/>
          </w:tcPr>
          <w:p w:rsidR="00681531" w:rsidRPr="00681531" w:rsidRDefault="00681531" w:rsidP="00780CA3">
            <w:pPr>
              <w:jc w:val="center"/>
              <w:rPr>
                <w:rFonts w:asciiTheme="minorHAnsi" w:eastAsiaTheme="minorEastAsia" w:hAnsiTheme="minorHAnsi"/>
                <w:b/>
                <w:noProof/>
                <w:color w:val="77C3D8"/>
                <w:sz w:val="44"/>
                <w:lang w:eastAsia="pl-PL"/>
              </w:rPr>
            </w:pPr>
            <w:r w:rsidRPr="00681531">
              <w:rPr>
                <w:rFonts w:asciiTheme="minorHAnsi" w:eastAsiaTheme="minorEastAsia" w:hAnsiTheme="minorHAnsi"/>
                <w:b/>
                <w:noProof/>
                <w:color w:val="77C3D8"/>
                <w:sz w:val="44"/>
                <w:lang w:eastAsia="pl-PL"/>
              </w:rPr>
              <w:t>3.</w:t>
            </w:r>
          </w:p>
        </w:tc>
        <w:tc>
          <w:tcPr>
            <w:tcW w:w="1418" w:type="dxa"/>
            <w:tcBorders>
              <w:top w:val="nil"/>
            </w:tcBorders>
            <w:vAlign w:val="center"/>
          </w:tcPr>
          <w:p w:rsidR="00681531" w:rsidRPr="00681531" w:rsidRDefault="00681531" w:rsidP="00780CA3">
            <w:pPr>
              <w:rPr>
                <w:rFonts w:asciiTheme="minorHAnsi" w:hAnsiTheme="minorHAnsi"/>
                <w:sz w:val="28"/>
              </w:rPr>
            </w:pPr>
            <w:r w:rsidRPr="00681531">
              <w:rPr>
                <w:rFonts w:asciiTheme="minorHAnsi" w:eastAsiaTheme="minorEastAsia" w:hAnsiTheme="minorHAnsi"/>
                <w:noProof/>
                <w:sz w:val="28"/>
                <w:lang w:eastAsia="pl-PL"/>
              </w:rPr>
              <w:object w:dxaOrig="1440" w:dyaOrig="1440">
                <v:shape id="_x0000_s1027" type="#_x0000_t75" style="position:absolute;margin-left:-5.05pt;margin-top:-29pt;width:34.7pt;height:30.15pt;z-index:-251653120;mso-position-horizontal-relative:text;mso-position-vertical-relative:text" wrapcoords="-149 0 -149 21429 21600 21429 21600 0 -149 0">
                  <v:imagedata r:id="rId20" o:title=""/>
                  <w10:wrap type="tight"/>
                </v:shape>
                <o:OLEObject Type="Embed" ProgID="PBrush" ShapeID="_x0000_s1027" DrawAspect="Content" ObjectID="_1534053069" r:id="rId21"/>
              </w:object>
            </w:r>
          </w:p>
        </w:tc>
        <w:tc>
          <w:tcPr>
            <w:tcW w:w="3123" w:type="dxa"/>
            <w:tcBorders>
              <w:top w:val="nil"/>
            </w:tcBorders>
            <w:vAlign w:val="center"/>
          </w:tcPr>
          <w:p w:rsidR="00681531" w:rsidRPr="00681531" w:rsidRDefault="00681531" w:rsidP="00780CA3">
            <w:pPr>
              <w:rPr>
                <w:rFonts w:asciiTheme="minorHAnsi" w:hAnsiTheme="minorHAnsi"/>
                <w:color w:val="000000" w:themeColor="text1"/>
                <w:sz w:val="28"/>
                <w:szCs w:val="28"/>
              </w:rPr>
            </w:pPr>
            <w:r w:rsidRPr="00681531">
              <w:rPr>
                <w:rFonts w:asciiTheme="minorHAnsi" w:hAnsiTheme="minorHAnsi"/>
                <w:color w:val="000000" w:themeColor="text1"/>
                <w:sz w:val="28"/>
                <w:szCs w:val="28"/>
              </w:rPr>
              <w:t>przemysł motoryzacyjny</w:t>
            </w:r>
          </w:p>
        </w:tc>
        <w:tc>
          <w:tcPr>
            <w:tcW w:w="4351" w:type="dxa"/>
            <w:tcBorders>
              <w:top w:val="nil"/>
            </w:tcBorders>
            <w:vAlign w:val="center"/>
          </w:tcPr>
          <w:p w:rsidR="00681531" w:rsidRPr="00681531" w:rsidRDefault="00681531" w:rsidP="00780CA3">
            <w:pPr>
              <w:jc w:val="center"/>
              <w:rPr>
                <w:rFonts w:asciiTheme="minorHAnsi" w:hAnsiTheme="minorHAnsi"/>
                <w:b/>
                <w:sz w:val="28"/>
                <w:szCs w:val="28"/>
              </w:rPr>
            </w:pPr>
            <w:r w:rsidRPr="00681531">
              <w:rPr>
                <w:rFonts w:asciiTheme="minorHAnsi" w:hAnsiTheme="minorHAnsi"/>
                <w:sz w:val="28"/>
                <w:szCs w:val="28"/>
              </w:rPr>
              <w:t>1 210 774 PLN</w:t>
            </w:r>
          </w:p>
        </w:tc>
      </w:tr>
    </w:tbl>
    <w:p w:rsidR="00681531" w:rsidRPr="00681531" w:rsidRDefault="00681531" w:rsidP="00681531">
      <w:pPr>
        <w:jc w:val="center"/>
        <w:rPr>
          <w:rFonts w:asciiTheme="minorHAnsi" w:hAnsiTheme="minorHAnsi"/>
          <w:i/>
          <w:sz w:val="20"/>
        </w:rPr>
      </w:pPr>
      <w:r w:rsidRPr="00681531">
        <w:rPr>
          <w:rFonts w:asciiTheme="minorHAnsi" w:hAnsiTheme="minorHAnsi"/>
          <w:i/>
          <w:sz w:val="20"/>
        </w:rPr>
        <w:t xml:space="preserve">Źródło: Raport „Wynagrodzenia członków zarządów w 2015 roku”, Sedlak </w:t>
      </w:r>
      <w:r w:rsidRPr="00681531">
        <w:rPr>
          <w:rFonts w:asciiTheme="minorHAnsi" w:hAnsiTheme="minorHAnsi"/>
          <w:i/>
          <w:sz w:val="18"/>
        </w:rPr>
        <w:t>&amp;</w:t>
      </w:r>
      <w:r w:rsidRPr="00681531">
        <w:rPr>
          <w:rFonts w:asciiTheme="minorHAnsi" w:hAnsiTheme="minorHAnsi"/>
          <w:i/>
          <w:sz w:val="20"/>
        </w:rPr>
        <w:t xml:space="preserve"> Sedlak</w:t>
      </w:r>
    </w:p>
    <w:p w:rsidR="00681531" w:rsidRDefault="00681531" w:rsidP="00681531">
      <w:pPr>
        <w:rPr>
          <w:rFonts w:asciiTheme="minorHAnsi" w:hAnsiTheme="minorHAnsi"/>
          <w:b/>
          <w:color w:val="215868" w:themeColor="accent5" w:themeShade="80"/>
        </w:rPr>
      </w:pPr>
    </w:p>
    <w:p w:rsidR="00681531" w:rsidRDefault="00681531" w:rsidP="00681531">
      <w:pPr>
        <w:rPr>
          <w:rFonts w:asciiTheme="minorHAnsi" w:hAnsiTheme="minorHAnsi"/>
          <w:b/>
          <w:color w:val="215868" w:themeColor="accent5" w:themeShade="80"/>
        </w:rPr>
      </w:pPr>
      <w:bookmarkStart w:id="0" w:name="_GoBack"/>
      <w:bookmarkEnd w:id="0"/>
    </w:p>
    <w:p w:rsidR="00681531" w:rsidRPr="00681531" w:rsidRDefault="00681531" w:rsidP="00681531">
      <w:pPr>
        <w:rPr>
          <w:rFonts w:asciiTheme="minorHAnsi" w:hAnsiTheme="minorHAnsi"/>
          <w:b/>
          <w:color w:val="1F497D" w:themeColor="text2"/>
          <w:sz w:val="26"/>
          <w:szCs w:val="26"/>
        </w:rPr>
      </w:pPr>
      <w:r w:rsidRPr="00681531">
        <w:rPr>
          <w:rFonts w:asciiTheme="minorHAnsi" w:hAnsiTheme="minorHAnsi"/>
          <w:b/>
          <w:color w:val="1F497D" w:themeColor="text2"/>
          <w:sz w:val="26"/>
          <w:szCs w:val="26"/>
        </w:rPr>
        <w:t>Kto zarobił najwięcej?</w:t>
      </w:r>
    </w:p>
    <w:p w:rsidR="00681531" w:rsidRPr="00681531" w:rsidRDefault="00681531" w:rsidP="00681531">
      <w:pPr>
        <w:jc w:val="both"/>
        <w:rPr>
          <w:rFonts w:asciiTheme="minorHAnsi" w:hAnsiTheme="minorHAnsi"/>
        </w:rPr>
      </w:pPr>
      <w:r w:rsidRPr="00681531">
        <w:rPr>
          <w:rFonts w:asciiTheme="minorHAnsi" w:hAnsiTheme="minorHAnsi"/>
        </w:rPr>
        <w:t xml:space="preserve">Wśród prezesów, którzy przepracowali cały rok 2015 najwyższe wynagrodzenie otrzymał Janusz Filipiak – 15,4 mln PLN. Na drugim miejscu w rankingu znalazł się Luigi </w:t>
      </w:r>
      <w:proofErr w:type="spellStart"/>
      <w:r w:rsidRPr="00681531">
        <w:rPr>
          <w:rFonts w:asciiTheme="minorHAnsi" w:hAnsiTheme="minorHAnsi"/>
        </w:rPr>
        <w:t>Lovaglio</w:t>
      </w:r>
      <w:proofErr w:type="spellEnd"/>
      <w:r w:rsidRPr="00681531">
        <w:rPr>
          <w:rFonts w:asciiTheme="minorHAnsi" w:hAnsiTheme="minorHAnsi"/>
        </w:rPr>
        <w:t xml:space="preserve"> prezes Banku Pekao SA z roczną pensją 9,5 mln PLN. Trzecie miejsce, z roczną pensją w wysokości 7,5 mln PLN zajął prezes Wawel SA – Dariusz Orłowski. Pięciu najlepiej wynagradzanych prezesów łącznie otrzymało 42,3 mln PLN. </w:t>
      </w:r>
    </w:p>
    <w:p w:rsidR="00681531" w:rsidRPr="00681531" w:rsidRDefault="00681531" w:rsidP="00681531">
      <w:pPr>
        <w:rPr>
          <w:rFonts w:asciiTheme="minorHAnsi" w:hAnsiTheme="minorHAnsi"/>
        </w:rPr>
      </w:pPr>
    </w:p>
    <w:p w:rsidR="00B551A3" w:rsidRPr="00681531" w:rsidRDefault="00681531" w:rsidP="00B551A3">
      <w:pPr>
        <w:jc w:val="center"/>
        <w:rPr>
          <w:rFonts w:asciiTheme="minorHAnsi" w:hAnsiTheme="minorHAnsi"/>
          <w:b/>
          <w:color w:val="215868" w:themeColor="accent5" w:themeShade="80"/>
        </w:rPr>
      </w:pPr>
      <w:r w:rsidRPr="00B551A3">
        <w:rPr>
          <w:rFonts w:asciiTheme="minorHAnsi" w:hAnsiTheme="minorHAnsi"/>
          <w:b/>
          <w:noProof/>
          <w:color w:val="1F497D" w:themeColor="text2"/>
          <w:lang w:eastAsia="pl-PL"/>
        </w:rPr>
        <w:drawing>
          <wp:anchor distT="0" distB="0" distL="114300" distR="114300" simplePos="0" relativeHeight="251660288" behindDoc="0" locked="0" layoutInCell="1" allowOverlap="1" wp14:anchorId="64B37EDA" wp14:editId="55166602">
            <wp:simplePos x="0" y="0"/>
            <wp:positionH relativeFrom="column">
              <wp:posOffset>0</wp:posOffset>
            </wp:positionH>
            <wp:positionV relativeFrom="paragraph">
              <wp:posOffset>456436</wp:posOffset>
            </wp:positionV>
            <wp:extent cx="5760720" cy="2677795"/>
            <wp:effectExtent l="0" t="0" r="0" b="8255"/>
            <wp:wrapTight wrapText="bothSides">
              <wp:wrapPolygon edited="0">
                <wp:start x="0" y="0"/>
                <wp:lineTo x="0" y="21513"/>
                <wp:lineTo x="21500" y="21513"/>
                <wp:lineTo x="21500" y="0"/>
                <wp:lineTo x="0" y="0"/>
              </wp:wrapPolygon>
            </wp:wrapTight>
            <wp:docPr id="8"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r w:rsidRPr="00B551A3">
        <w:rPr>
          <w:rFonts w:asciiTheme="minorHAnsi" w:hAnsiTheme="minorHAnsi"/>
          <w:b/>
          <w:color w:val="1F497D" w:themeColor="text2"/>
        </w:rPr>
        <w:t xml:space="preserve">Wykres3. Ranking najlepiej wynagradzanych prezesów zarządów spółek giełdowych w 2015 </w:t>
      </w:r>
      <w:r w:rsidR="00B551A3" w:rsidRPr="00B551A3">
        <w:rPr>
          <w:rFonts w:asciiTheme="minorHAnsi" w:hAnsiTheme="minorHAnsi"/>
          <w:b/>
          <w:color w:val="1F497D" w:themeColor="text2"/>
        </w:rPr>
        <w:t>(osoby, które przepracowały cały rok)</w:t>
      </w:r>
    </w:p>
    <w:p w:rsidR="00DE51D1" w:rsidRPr="00681531" w:rsidRDefault="00DE51D1" w:rsidP="00DE51D1">
      <w:pPr>
        <w:jc w:val="center"/>
        <w:rPr>
          <w:rFonts w:asciiTheme="minorHAnsi" w:hAnsiTheme="minorHAnsi"/>
          <w:i/>
          <w:sz w:val="20"/>
        </w:rPr>
      </w:pPr>
      <w:r w:rsidRPr="00681531">
        <w:rPr>
          <w:rFonts w:asciiTheme="minorHAnsi" w:hAnsiTheme="minorHAnsi"/>
          <w:i/>
          <w:sz w:val="20"/>
        </w:rPr>
        <w:t xml:space="preserve">Źródło: Raport „Wynagrodzenia członków zarządów w 2015 roku”, Sedlak </w:t>
      </w:r>
      <w:r w:rsidRPr="00681531">
        <w:rPr>
          <w:rFonts w:asciiTheme="minorHAnsi" w:hAnsiTheme="minorHAnsi"/>
          <w:i/>
          <w:sz w:val="18"/>
        </w:rPr>
        <w:t>&amp;</w:t>
      </w:r>
      <w:r w:rsidRPr="00681531">
        <w:rPr>
          <w:rFonts w:asciiTheme="minorHAnsi" w:hAnsiTheme="minorHAnsi"/>
          <w:i/>
          <w:sz w:val="20"/>
        </w:rPr>
        <w:t xml:space="preserve"> Sedlak</w:t>
      </w:r>
    </w:p>
    <w:p w:rsidR="00681531" w:rsidRPr="00681531" w:rsidRDefault="00681531" w:rsidP="00681531">
      <w:pPr>
        <w:rPr>
          <w:rFonts w:asciiTheme="minorHAnsi" w:hAnsiTheme="minorHAnsi"/>
        </w:rPr>
      </w:pPr>
    </w:p>
    <w:p w:rsidR="003A3EBA" w:rsidRDefault="003A3EBA">
      <w:pPr>
        <w:rPr>
          <w:rFonts w:asciiTheme="minorHAnsi" w:hAnsiTheme="minorHAnsi"/>
          <w:b/>
          <w:color w:val="215868" w:themeColor="accent5" w:themeShade="80"/>
          <w:sz w:val="28"/>
        </w:rPr>
      </w:pPr>
      <w:r>
        <w:rPr>
          <w:rFonts w:asciiTheme="minorHAnsi" w:hAnsiTheme="minorHAnsi"/>
          <w:b/>
          <w:color w:val="215868" w:themeColor="accent5" w:themeShade="80"/>
          <w:sz w:val="28"/>
        </w:rPr>
        <w:br w:type="page"/>
      </w:r>
    </w:p>
    <w:p w:rsidR="00681531" w:rsidRPr="00681531" w:rsidRDefault="00681531" w:rsidP="00681531">
      <w:pPr>
        <w:jc w:val="both"/>
        <w:rPr>
          <w:rFonts w:asciiTheme="minorHAnsi" w:hAnsiTheme="minorHAnsi"/>
          <w:b/>
          <w:color w:val="215868" w:themeColor="accent5" w:themeShade="80"/>
          <w:sz w:val="28"/>
        </w:rPr>
      </w:pPr>
      <w:r w:rsidRPr="00681531">
        <w:rPr>
          <w:rFonts w:asciiTheme="minorHAnsi" w:hAnsiTheme="minorHAnsi"/>
          <w:b/>
          <w:color w:val="215868" w:themeColor="accent5" w:themeShade="80"/>
          <w:sz w:val="28"/>
        </w:rPr>
        <w:lastRenderedPageBreak/>
        <w:t>O raporcie</w:t>
      </w:r>
    </w:p>
    <w:p w:rsidR="00681531" w:rsidRPr="00681531" w:rsidRDefault="00681531" w:rsidP="00681531">
      <w:pPr>
        <w:jc w:val="both"/>
        <w:rPr>
          <w:rFonts w:asciiTheme="minorHAnsi" w:hAnsiTheme="minorHAnsi"/>
        </w:rPr>
      </w:pPr>
      <w:r w:rsidRPr="00681531">
        <w:rPr>
          <w:rFonts w:asciiTheme="minorHAnsi" w:hAnsiTheme="minorHAnsi"/>
        </w:rPr>
        <w:t xml:space="preserve">Raport „Wynagrodzenia członków zarządów” ukazuje się po raz dwunasty. W tegorocznej edycji przeanalizowaliśmy dane na temat wynagrodzeń 1 361 menedżerów (w tym 932 osób, które przepracowały cały 2015 rok) z 353 spółek notowanych na Giełdzie Papierów Wartościowych w Warszawie. </w:t>
      </w:r>
    </w:p>
    <w:p w:rsidR="00681531" w:rsidRPr="00681531" w:rsidRDefault="00681531" w:rsidP="00681531">
      <w:pPr>
        <w:spacing w:line="276" w:lineRule="auto"/>
        <w:jc w:val="both"/>
        <w:rPr>
          <w:rFonts w:asciiTheme="minorHAnsi" w:hAnsiTheme="minorHAnsi"/>
        </w:rPr>
      </w:pPr>
      <w:r w:rsidRPr="00681531">
        <w:rPr>
          <w:rFonts w:asciiTheme="minorHAnsi" w:hAnsiTheme="minorHAnsi"/>
        </w:rPr>
        <w:t>Raport składa się z sześciu części:</w:t>
      </w:r>
    </w:p>
    <w:p w:rsidR="00681531" w:rsidRPr="00681531" w:rsidRDefault="00681531" w:rsidP="00681531">
      <w:pPr>
        <w:spacing w:line="276" w:lineRule="auto"/>
        <w:jc w:val="both"/>
        <w:rPr>
          <w:rFonts w:asciiTheme="minorHAnsi" w:hAnsiTheme="minorHAnsi"/>
        </w:rPr>
      </w:pPr>
      <w:r w:rsidRPr="00681531">
        <w:rPr>
          <w:rFonts w:asciiTheme="minorHAnsi" w:hAnsiTheme="minorHAnsi"/>
        </w:rPr>
        <w:t xml:space="preserve">Cześć I zawiera analizy ogólne na temat wynagrodzeń członków zarządów spółek giełdowych w 2015 roku. Ponadto przedstawiono w niej analizę struktury wynagrodzeń oraz popularności programów motywacyjnych. </w:t>
      </w:r>
    </w:p>
    <w:p w:rsidR="00681531" w:rsidRPr="00681531" w:rsidRDefault="00681531" w:rsidP="00681531">
      <w:pPr>
        <w:spacing w:line="276" w:lineRule="auto"/>
        <w:jc w:val="both"/>
        <w:rPr>
          <w:rFonts w:asciiTheme="minorHAnsi" w:hAnsiTheme="minorHAnsi"/>
        </w:rPr>
      </w:pPr>
      <w:r w:rsidRPr="00681531">
        <w:rPr>
          <w:rFonts w:asciiTheme="minorHAnsi" w:hAnsiTheme="minorHAnsi"/>
        </w:rPr>
        <w:t>Część II zawiera analizy na temat wynagrodzeń członków zarządów spółek giełdowych zaliczanych do różnych indeksów m.in.. indeksów RESPECT INDEX, czy indeksów sektorowych.</w:t>
      </w:r>
    </w:p>
    <w:p w:rsidR="00681531" w:rsidRPr="00681531" w:rsidRDefault="00681531" w:rsidP="00681531">
      <w:pPr>
        <w:spacing w:line="276" w:lineRule="auto"/>
        <w:jc w:val="both"/>
        <w:rPr>
          <w:rFonts w:asciiTheme="minorHAnsi" w:hAnsiTheme="minorHAnsi"/>
        </w:rPr>
      </w:pPr>
      <w:r w:rsidRPr="00681531">
        <w:rPr>
          <w:rFonts w:asciiTheme="minorHAnsi" w:hAnsiTheme="minorHAnsi"/>
        </w:rPr>
        <w:t>W części III przedstawiono wynagrodzenia menedżerów w spółkach o różnym poziomie zyskowności. Analizy przeprowadzono w oparciu o takie charakterystyki jak: zysk netto, zysk operacyjny, EBITDA czy zysk na akcję.</w:t>
      </w:r>
    </w:p>
    <w:p w:rsidR="00681531" w:rsidRPr="00681531" w:rsidRDefault="00681531" w:rsidP="00681531">
      <w:pPr>
        <w:spacing w:line="276" w:lineRule="auto"/>
        <w:jc w:val="both"/>
        <w:rPr>
          <w:rFonts w:asciiTheme="minorHAnsi" w:hAnsiTheme="minorHAnsi"/>
        </w:rPr>
      </w:pPr>
      <w:r w:rsidRPr="00681531">
        <w:rPr>
          <w:rFonts w:asciiTheme="minorHAnsi" w:hAnsiTheme="minorHAnsi"/>
        </w:rPr>
        <w:t>W części IV zaprezentowano analizy wynagrodzeń menedżerów w spółkach o różnej wielkości: przychodów, aktywów, kapitałów własnych, kapitalizacji rynkowej, zatrudnienia.</w:t>
      </w:r>
    </w:p>
    <w:p w:rsidR="00681531" w:rsidRPr="00681531" w:rsidRDefault="00681531" w:rsidP="00681531">
      <w:pPr>
        <w:spacing w:line="276" w:lineRule="auto"/>
        <w:jc w:val="both"/>
        <w:rPr>
          <w:rFonts w:asciiTheme="minorHAnsi" w:hAnsiTheme="minorHAnsi"/>
        </w:rPr>
      </w:pPr>
      <w:r w:rsidRPr="00681531">
        <w:rPr>
          <w:rFonts w:asciiTheme="minorHAnsi" w:hAnsiTheme="minorHAnsi"/>
        </w:rPr>
        <w:t>Część V zawiera analizy całkowitych środków przeznaczonych na wynagrodzenia top menedżerów.</w:t>
      </w:r>
    </w:p>
    <w:p w:rsidR="00681531" w:rsidRPr="00681531" w:rsidRDefault="00681531" w:rsidP="00681531">
      <w:pPr>
        <w:spacing w:line="276" w:lineRule="auto"/>
        <w:jc w:val="both"/>
        <w:rPr>
          <w:rFonts w:asciiTheme="minorHAnsi" w:hAnsiTheme="minorHAnsi"/>
        </w:rPr>
      </w:pPr>
      <w:r w:rsidRPr="00681531">
        <w:rPr>
          <w:rFonts w:asciiTheme="minorHAnsi" w:hAnsiTheme="minorHAnsi"/>
        </w:rPr>
        <w:t>Część VI zawiera zestawienia i rankingi wynagrodzeń menedżerów.</w:t>
      </w:r>
    </w:p>
    <w:p w:rsidR="00681531" w:rsidRPr="00681531" w:rsidRDefault="00681531" w:rsidP="00681531">
      <w:pPr>
        <w:rPr>
          <w:rFonts w:asciiTheme="minorHAnsi" w:hAnsiTheme="minorHAnsi"/>
        </w:rPr>
      </w:pPr>
    </w:p>
    <w:p w:rsidR="00681531" w:rsidRPr="00681531" w:rsidRDefault="00681531" w:rsidP="00681531">
      <w:pPr>
        <w:rPr>
          <w:rFonts w:asciiTheme="minorHAnsi" w:hAnsiTheme="minorHAnsi"/>
        </w:rPr>
      </w:pPr>
    </w:p>
    <w:p w:rsidR="00681531" w:rsidRPr="00B551A3" w:rsidRDefault="00681531" w:rsidP="00681531">
      <w:pPr>
        <w:pStyle w:val="Bezodstpw"/>
        <w:rPr>
          <w:rFonts w:asciiTheme="minorHAnsi" w:hAnsiTheme="minorHAnsi"/>
          <w:b/>
          <w:i/>
          <w:color w:val="1F497D" w:themeColor="text2"/>
        </w:rPr>
      </w:pPr>
      <w:r w:rsidRPr="00B551A3">
        <w:rPr>
          <w:rFonts w:asciiTheme="minorHAnsi" w:hAnsiTheme="minorHAnsi"/>
          <w:b/>
          <w:i/>
          <w:color w:val="1F497D" w:themeColor="text2"/>
        </w:rPr>
        <w:t>Iwona Wabik</w:t>
      </w:r>
    </w:p>
    <w:p w:rsidR="00681531" w:rsidRPr="00B551A3" w:rsidRDefault="00681531" w:rsidP="00681531">
      <w:pPr>
        <w:pStyle w:val="Bezodstpw"/>
        <w:rPr>
          <w:rFonts w:asciiTheme="minorHAnsi" w:hAnsiTheme="minorHAnsi"/>
          <w:b/>
          <w:i/>
          <w:color w:val="1F497D" w:themeColor="text2"/>
        </w:rPr>
      </w:pPr>
      <w:r w:rsidRPr="00B551A3">
        <w:rPr>
          <w:rFonts w:asciiTheme="minorHAnsi" w:hAnsiTheme="minorHAnsi"/>
          <w:b/>
          <w:i/>
          <w:color w:val="1F497D" w:themeColor="text2"/>
        </w:rPr>
        <w:t xml:space="preserve">Sedlak </w:t>
      </w:r>
      <w:r w:rsidRPr="00B551A3">
        <w:rPr>
          <w:rFonts w:asciiTheme="minorHAnsi" w:hAnsiTheme="minorHAnsi"/>
          <w:b/>
          <w:i/>
          <w:color w:val="1F497D" w:themeColor="text2"/>
          <w:sz w:val="16"/>
          <w:szCs w:val="16"/>
        </w:rPr>
        <w:t>&amp;</w:t>
      </w:r>
      <w:r w:rsidRPr="00B551A3">
        <w:rPr>
          <w:rFonts w:asciiTheme="minorHAnsi" w:hAnsiTheme="minorHAnsi"/>
          <w:b/>
          <w:i/>
          <w:color w:val="1F497D" w:themeColor="text2"/>
        </w:rPr>
        <w:t xml:space="preserve"> Sedlak</w:t>
      </w:r>
    </w:p>
    <w:p w:rsidR="001061D6" w:rsidRPr="00681531" w:rsidRDefault="001061D6" w:rsidP="001061D6">
      <w:pPr>
        <w:jc w:val="center"/>
        <w:rPr>
          <w:rFonts w:asciiTheme="minorHAnsi" w:hAnsiTheme="minorHAnsi"/>
        </w:rPr>
      </w:pPr>
    </w:p>
    <w:p w:rsidR="0000005A" w:rsidRPr="00681531" w:rsidRDefault="0000005A" w:rsidP="00BC1378">
      <w:pPr>
        <w:spacing w:line="276" w:lineRule="auto"/>
        <w:rPr>
          <w:rFonts w:asciiTheme="minorHAnsi" w:eastAsiaTheme="minorHAnsi" w:hAnsiTheme="minorHAnsi"/>
          <w:lang w:eastAsia="pl-PL"/>
        </w:rPr>
      </w:pPr>
    </w:p>
    <w:p w:rsidR="00C755CB" w:rsidRPr="00681531" w:rsidRDefault="002B3583" w:rsidP="00BC1378">
      <w:pPr>
        <w:pStyle w:val="aboutus"/>
        <w:spacing w:line="276" w:lineRule="auto"/>
        <w:ind w:left="0"/>
        <w:rPr>
          <w:rFonts w:asciiTheme="minorHAnsi" w:hAnsiTheme="minorHAnsi"/>
          <w:sz w:val="20"/>
          <w:szCs w:val="18"/>
        </w:rPr>
      </w:pPr>
      <w:r w:rsidRPr="00681531">
        <w:rPr>
          <w:rFonts w:asciiTheme="minorHAnsi" w:hAnsiTheme="minorHAnsi"/>
          <w:noProof/>
        </w:rPr>
        <mc:AlternateContent>
          <mc:Choice Requires="wps">
            <w:drawing>
              <wp:anchor distT="0" distB="0" distL="114300" distR="114300" simplePos="0" relativeHeight="251654144" behindDoc="0" locked="0" layoutInCell="1" allowOverlap="1" wp14:anchorId="3535AB5E" wp14:editId="66FC1475">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F8C3E2"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14:anchorId="6FA9A823" wp14:editId="5AA44C89">
            <wp:extent cx="1619250" cy="200025"/>
            <wp:effectExtent l="0" t="0" r="0" b="0"/>
            <wp:docPr id="2" name="Obraz 2" descr="logo_wynagrodzenia">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26667" w:rsidRDefault="00EA72FE" w:rsidP="00326667">
      <w:pPr>
        <w:autoSpaceDE w:val="0"/>
        <w:autoSpaceDN w:val="0"/>
        <w:adjustRightInd w:val="0"/>
        <w:spacing w:before="240"/>
        <w:jc w:val="both"/>
        <w:rPr>
          <w:rFonts w:asciiTheme="minorHAnsi" w:eastAsia="Calibri" w:hAnsiTheme="minorHAnsi" w:cs="Calibri"/>
          <w:b/>
          <w:sz w:val="22"/>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 xml:space="preserve">linku do strony </w:t>
      </w:r>
      <w:r w:rsidR="00326667">
        <w:rPr>
          <w:rFonts w:asciiTheme="minorHAnsi" w:eastAsia="Calibri" w:hAnsiTheme="minorHAnsi" w:cs="Calibri"/>
          <w:b/>
          <w:sz w:val="22"/>
          <w:lang w:eastAsia="pl-PL"/>
        </w:rPr>
        <w:t>o wynagrodzeniach menedżerów spółek giełdowych:</w:t>
      </w:r>
      <w:r w:rsidR="00070AED" w:rsidRPr="00A217F4">
        <w:rPr>
          <w:rFonts w:asciiTheme="minorHAnsi" w:eastAsia="Calibri" w:hAnsiTheme="minorHAnsi" w:cs="Calibri"/>
          <w:b/>
          <w:sz w:val="22"/>
          <w:lang w:eastAsia="pl-PL"/>
        </w:rPr>
        <w:t xml:space="preserve"> </w:t>
      </w:r>
    </w:p>
    <w:p w:rsidR="00326667" w:rsidRDefault="00EA72FE" w:rsidP="00326667">
      <w:pPr>
        <w:autoSpaceDE w:val="0"/>
        <w:autoSpaceDN w:val="0"/>
        <w:adjustRightInd w:val="0"/>
        <w:spacing w:before="240"/>
        <w:jc w:val="both"/>
        <w:rPr>
          <w:rFonts w:asciiTheme="minorHAnsi" w:eastAsia="Calibri" w:hAnsiTheme="minorHAnsi" w:cs="Calibri"/>
          <w:b/>
          <w:sz w:val="22"/>
          <w:lang w:eastAsia="pl-PL"/>
        </w:rPr>
      </w:pPr>
      <w:r w:rsidRPr="00A217F4">
        <w:rPr>
          <w:rFonts w:asciiTheme="minorHAnsi" w:eastAsia="Calibri" w:hAnsiTheme="minorHAnsi" w:cs="Calibri"/>
          <w:b/>
          <w:sz w:val="22"/>
          <w:lang w:eastAsia="pl-PL"/>
        </w:rPr>
        <w:t>(</w:t>
      </w:r>
      <w:hyperlink r:id="rId25" w:history="1">
        <w:r w:rsidR="00326667" w:rsidRPr="008F112C">
          <w:rPr>
            <w:rStyle w:val="Hipercze"/>
          </w:rPr>
          <w:t>http://wynagrodzenia.pl/wynagrodzenia-menedzerow</w:t>
        </w:r>
      </w:hyperlink>
      <w:r w:rsidRPr="00A217F4">
        <w:rPr>
          <w:rFonts w:asciiTheme="minorHAnsi" w:eastAsia="Calibri" w:hAnsiTheme="minorHAnsi" w:cs="Calibri"/>
          <w:b/>
          <w:sz w:val="22"/>
          <w:lang w:eastAsia="pl-PL"/>
        </w:rPr>
        <w:t>)</w:t>
      </w:r>
    </w:p>
    <w:p w:rsidR="003974B4" w:rsidRPr="00326667" w:rsidRDefault="00EA72FE" w:rsidP="00326667">
      <w:pPr>
        <w:autoSpaceDE w:val="0"/>
        <w:autoSpaceDN w:val="0"/>
        <w:adjustRightInd w:val="0"/>
        <w:spacing w:before="240"/>
        <w:jc w:val="both"/>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 czcionką nie mniejszą niż czcionka użyta w publikacji. </w:t>
      </w:r>
    </w:p>
    <w:sectPr w:rsidR="003974B4" w:rsidRPr="00326667" w:rsidSect="00E107E8">
      <w:headerReference w:type="default" r:id="rId26"/>
      <w:footerReference w:type="default" r:id="rId27"/>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62A" w:rsidRDefault="0007162A">
      <w:r>
        <w:separator/>
      </w:r>
    </w:p>
  </w:endnote>
  <w:endnote w:type="continuationSeparator" w:id="0">
    <w:p w:rsidR="0007162A" w:rsidRDefault="0007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2B358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14:anchorId="35B49533" wp14:editId="6BCC922D">
              <wp:simplePos x="0" y="0"/>
              <wp:positionH relativeFrom="column">
                <wp:posOffset>-127635</wp:posOffset>
              </wp:positionH>
              <wp:positionV relativeFrom="paragraph">
                <wp:posOffset>-16510</wp:posOffset>
              </wp:positionV>
              <wp:extent cx="635" cy="862965"/>
              <wp:effectExtent l="0" t="0" r="37465" b="1333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56ECA6"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62A" w:rsidRDefault="0007162A">
      <w:r>
        <w:separator/>
      </w:r>
    </w:p>
  </w:footnote>
  <w:footnote w:type="continuationSeparator" w:id="0">
    <w:p w:rsidR="0007162A" w:rsidRDefault="00071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14:anchorId="4D237895" wp14:editId="64D5CCB6">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2B3583">
      <w:rPr>
        <w:rFonts w:ascii="Arial" w:hAnsi="Arial" w:cs="Arial"/>
        <w:noProof/>
        <w:color w:val="4F648B"/>
        <w:sz w:val="12"/>
        <w:szCs w:val="12"/>
        <w:lang w:eastAsia="pl-PL"/>
      </w:rPr>
      <mc:AlternateContent>
        <mc:Choice Requires="wps">
          <w:drawing>
            <wp:anchor distT="0" distB="0" distL="114299" distR="114299" simplePos="0" relativeHeight="251658752" behindDoc="0" locked="0" layoutInCell="1" allowOverlap="1" wp14:anchorId="791B4120" wp14:editId="259E4EC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C1A0F0"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6"/>
  </w:num>
  <w:num w:numId="4">
    <w:abstractNumId w:val="11"/>
  </w:num>
  <w:num w:numId="5">
    <w:abstractNumId w:val="8"/>
  </w:num>
  <w:num w:numId="6">
    <w:abstractNumId w:val="19"/>
  </w:num>
  <w:num w:numId="7">
    <w:abstractNumId w:val="17"/>
  </w:num>
  <w:num w:numId="8">
    <w:abstractNumId w:val="5"/>
  </w:num>
  <w:num w:numId="9">
    <w:abstractNumId w:val="0"/>
  </w:num>
  <w:num w:numId="10">
    <w:abstractNumId w:val="4"/>
  </w:num>
  <w:num w:numId="11">
    <w:abstractNumId w:val="14"/>
  </w:num>
  <w:num w:numId="12">
    <w:abstractNumId w:val="10"/>
  </w:num>
  <w:num w:numId="13">
    <w:abstractNumId w:val="1"/>
  </w:num>
  <w:num w:numId="14">
    <w:abstractNumId w:val="2"/>
  </w:num>
  <w:num w:numId="15">
    <w:abstractNumId w:val="15"/>
  </w:num>
  <w:num w:numId="16">
    <w:abstractNumId w:val="9"/>
  </w:num>
  <w:num w:numId="17">
    <w:abstractNumId w:val="18"/>
  </w:num>
  <w:num w:numId="18">
    <w:abstractNumId w:val="12"/>
  </w:num>
  <w:num w:numId="19">
    <w:abstractNumId w:val="1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defaultTabStop w:val="708"/>
  <w:hyphenationZone w:val="425"/>
  <w:characterSpacingControl w:val="doNotCompress"/>
  <w:hdrShapeDefaults>
    <o:shapedefaults v:ext="edit" spidmax="159745"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1D6"/>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D74D8"/>
    <w:rsid w:val="002E18BF"/>
    <w:rsid w:val="002F18B2"/>
    <w:rsid w:val="002F52E5"/>
    <w:rsid w:val="002F7E8A"/>
    <w:rsid w:val="00303FFA"/>
    <w:rsid w:val="003133CE"/>
    <w:rsid w:val="00313A17"/>
    <w:rsid w:val="00313B7F"/>
    <w:rsid w:val="00314697"/>
    <w:rsid w:val="0032183C"/>
    <w:rsid w:val="00325771"/>
    <w:rsid w:val="00326667"/>
    <w:rsid w:val="0033554D"/>
    <w:rsid w:val="00336B92"/>
    <w:rsid w:val="00340A66"/>
    <w:rsid w:val="003429B3"/>
    <w:rsid w:val="003444E1"/>
    <w:rsid w:val="0034458E"/>
    <w:rsid w:val="00346738"/>
    <w:rsid w:val="00353B31"/>
    <w:rsid w:val="00354444"/>
    <w:rsid w:val="0036020E"/>
    <w:rsid w:val="00363197"/>
    <w:rsid w:val="0037333D"/>
    <w:rsid w:val="00374BE4"/>
    <w:rsid w:val="0037652C"/>
    <w:rsid w:val="003777A1"/>
    <w:rsid w:val="003866A1"/>
    <w:rsid w:val="00387A68"/>
    <w:rsid w:val="00387BF1"/>
    <w:rsid w:val="00392543"/>
    <w:rsid w:val="00395CCB"/>
    <w:rsid w:val="003974B4"/>
    <w:rsid w:val="003A3EBA"/>
    <w:rsid w:val="003A443A"/>
    <w:rsid w:val="003A73F1"/>
    <w:rsid w:val="003B1BE0"/>
    <w:rsid w:val="003B35F2"/>
    <w:rsid w:val="003B5D5E"/>
    <w:rsid w:val="003C1054"/>
    <w:rsid w:val="003C5113"/>
    <w:rsid w:val="003C54DE"/>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5078F7"/>
    <w:rsid w:val="005111D8"/>
    <w:rsid w:val="00514744"/>
    <w:rsid w:val="00526EBB"/>
    <w:rsid w:val="0052750E"/>
    <w:rsid w:val="005316C8"/>
    <w:rsid w:val="00537F5A"/>
    <w:rsid w:val="00545D3A"/>
    <w:rsid w:val="005463F9"/>
    <w:rsid w:val="00552191"/>
    <w:rsid w:val="0057587E"/>
    <w:rsid w:val="00582349"/>
    <w:rsid w:val="00582F2E"/>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40874"/>
    <w:rsid w:val="0064290F"/>
    <w:rsid w:val="0064418A"/>
    <w:rsid w:val="00644723"/>
    <w:rsid w:val="006470E5"/>
    <w:rsid w:val="00657E85"/>
    <w:rsid w:val="00662A81"/>
    <w:rsid w:val="0066353F"/>
    <w:rsid w:val="00670A17"/>
    <w:rsid w:val="0067729F"/>
    <w:rsid w:val="006812B2"/>
    <w:rsid w:val="00681531"/>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551A3"/>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E51D1"/>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B796D"/>
    <w:rsid w:val="00FC1A04"/>
    <w:rsid w:val="00FC1D1B"/>
    <w:rsid w:val="00FC3086"/>
    <w:rsid w:val="00FC39FC"/>
    <w:rsid w:val="00FC64F6"/>
    <w:rsid w:val="00FC77D0"/>
    <w:rsid w:val="00FD623A"/>
    <w:rsid w:val="00FD6D06"/>
    <w:rsid w:val="00FF2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strokecolor="#54628d">
      <v:stroke color="#54628d" weight="1.5pt"/>
      <o:colormru v:ext="edit" colors="#e2aa1e"/>
    </o:shapedefaults>
    <o:shapelayout v:ext="edit">
      <o:idmap v:ext="edit" data="1"/>
    </o:shapelayout>
  </w:shapeDefaults>
  <w:decimalSymbol w:val=","/>
  <w:listSeparator w:val=";"/>
  <w15:docId w15:val="{76EC3185-684F-4078-BC04-A63CE43F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1061D6"/>
  </w:style>
  <w:style w:type="character" w:customStyle="1" w:styleId="small">
    <w:name w:val="small"/>
    <w:basedOn w:val="Domylnaczcionkaakapitu"/>
    <w:rsid w:val="00106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image" Target="media/image3.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oleObject" Target="embeddings/oleObject1.bin"/><Relationship Id="rId25" Type="http://schemas.openxmlformats.org/officeDocument/2006/relationships/hyperlink" Target="http://wynagrodzenia.pl/wynagrodzenia-menedzerow"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yperlink" Target="http://www.wynagrodzenia.pl/" TargetMode="External"/><Relationship Id="rId28" Type="http://schemas.openxmlformats.org/officeDocument/2006/relationships/fontTable" Target="fontTable.xml"/><Relationship Id="rId10" Type="http://schemas.openxmlformats.org/officeDocument/2006/relationships/diagramData" Target="diagrams/data1.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microsoft.com/office/2007/relationships/diagramDrawing" Target="diagrams/drawing1.xml"/><Relationship Id="rId22" Type="http://schemas.openxmlformats.org/officeDocument/2006/relationships/chart" Target="charts/chart2.xm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oleObject" Target="file:///\\sassrvdc04\Krakow-Miodowa\wynagrodzenia\ARCHIWUM\RAPORT%20GIE&#321;DOWY\za%202015\C.%20Raport%20gie&#322;dowy%202015\artyku&#322;y\2.%20Ile%20zarabiaj&#261;%20prezesi%20sp&#243;&#322;ek%20gie&#322;dowych.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sassrvdc04\Krakow-Miodowa\wynagrodzenia\ARCHIWUM\RAPORT%20GIE&#321;DOWY\za%202015\C.%20Raport%20gie&#322;dowy%202015\artyku&#322;y\2.%20Ile%20zarabiaj&#261;%20prezesi%20sp&#243;&#322;ek%20gie&#322;dowych.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EB605B"/>
            </a:solidFill>
            <a:ln>
              <a:noFill/>
            </a:ln>
            <a:effectLst>
              <a:outerShdw blurRad="50800" dist="38100" dir="2700000" algn="tl" rotWithShape="0">
                <a:prstClr val="black">
                  <a:alpha val="40000"/>
                </a:prstClr>
              </a:outerShdw>
            </a:effectLst>
          </c:spPr>
          <c:invertIfNegative val="0"/>
          <c:dPt>
            <c:idx val="0"/>
            <c:invertIfNegative val="0"/>
            <c:bubble3D val="0"/>
            <c:spPr>
              <a:solidFill>
                <a:srgbClr val="F6A047"/>
              </a:solidFill>
              <a:ln>
                <a:noFill/>
              </a:ln>
              <a:effectLst>
                <a:outerShdw blurRad="50800" dist="38100" dir="2700000" algn="tl" rotWithShape="0">
                  <a:prstClr val="black">
                    <a:alpha val="40000"/>
                  </a:prstClr>
                </a:outerShdw>
              </a:effectLst>
            </c:spPr>
          </c:dPt>
          <c:dPt>
            <c:idx val="1"/>
            <c:invertIfNegative val="0"/>
            <c:bubble3D val="0"/>
            <c:spPr>
              <a:solidFill>
                <a:srgbClr val="F6A047"/>
              </a:solidFill>
              <a:ln>
                <a:noFill/>
              </a:ln>
              <a:effectLst>
                <a:outerShdw blurRad="50800" dist="38100" dir="2700000" algn="tl" rotWithShape="0">
                  <a:prstClr val="black">
                    <a:alpha val="40000"/>
                  </a:prstClr>
                </a:outerShdw>
              </a:effectLst>
            </c:spPr>
          </c:dPt>
          <c:dPt>
            <c:idx val="4"/>
            <c:invertIfNegative val="0"/>
            <c:bubble3D val="0"/>
            <c:spPr>
              <a:solidFill>
                <a:srgbClr val="39417B"/>
              </a:solidFill>
              <a:ln>
                <a:noFill/>
              </a:ln>
              <a:effectLst>
                <a:outerShdw blurRad="50800" dist="38100" dir="2700000" algn="tl" rotWithShape="0">
                  <a:prstClr val="black">
                    <a:alpha val="40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Arkusz1!$A$51:$A$55</c:f>
              <c:strCache>
                <c:ptCount val="5"/>
                <c:pt idx="0">
                  <c:v>ujemny  </c:v>
                </c:pt>
                <c:pt idx="1">
                  <c:v>0-0,49 PLN</c:v>
                </c:pt>
                <c:pt idx="2">
                  <c:v>0,5-1,99 PLN</c:v>
                </c:pt>
                <c:pt idx="3">
                  <c:v>2-9,99 PLN</c:v>
                </c:pt>
                <c:pt idx="4">
                  <c:v>10 PLN i więcej</c:v>
                </c:pt>
              </c:strCache>
            </c:strRef>
          </c:cat>
          <c:val>
            <c:numRef>
              <c:f>Arkusz1!$B$51:$B$55</c:f>
              <c:numCache>
                <c:formatCode>#,##0</c:formatCode>
                <c:ptCount val="5"/>
                <c:pt idx="0">
                  <c:v>429640</c:v>
                </c:pt>
                <c:pt idx="1">
                  <c:v>517000</c:v>
                </c:pt>
                <c:pt idx="2">
                  <c:v>602500</c:v>
                </c:pt>
                <c:pt idx="3">
                  <c:v>1116000</c:v>
                </c:pt>
                <c:pt idx="4">
                  <c:v>1304317.5</c:v>
                </c:pt>
              </c:numCache>
            </c:numRef>
          </c:val>
        </c:ser>
        <c:dLbls>
          <c:showLegendKey val="0"/>
          <c:showVal val="0"/>
          <c:showCatName val="0"/>
          <c:showSerName val="0"/>
          <c:showPercent val="0"/>
          <c:showBubbleSize val="0"/>
        </c:dLbls>
        <c:gapWidth val="219"/>
        <c:overlap val="-27"/>
        <c:axId val="203571832"/>
        <c:axId val="203575752"/>
      </c:barChart>
      <c:catAx>
        <c:axId val="203571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pl-PL"/>
          </a:p>
        </c:txPr>
        <c:crossAx val="203575752"/>
        <c:crosses val="autoZero"/>
        <c:auto val="1"/>
        <c:lblAlgn val="ctr"/>
        <c:lblOffset val="100"/>
        <c:noMultiLvlLbl val="0"/>
      </c:catAx>
      <c:valAx>
        <c:axId val="203575752"/>
        <c:scaling>
          <c:orientation val="minMax"/>
        </c:scaling>
        <c:delete val="1"/>
        <c:axPos val="l"/>
        <c:numFmt formatCode="#,##0" sourceLinked="1"/>
        <c:majorTickMark val="none"/>
        <c:minorTickMark val="none"/>
        <c:tickLblPos val="nextTo"/>
        <c:crossAx val="20357183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0385194906192281"/>
          <c:y val="6.6397913208442016E-2"/>
          <c:w val="0.5991462872696468"/>
          <c:h val="0.88143229784206778"/>
        </c:manualLayout>
      </c:layout>
      <c:barChart>
        <c:barDir val="bar"/>
        <c:grouping val="clustered"/>
        <c:varyColors val="0"/>
        <c:ser>
          <c:idx val="0"/>
          <c:order val="0"/>
          <c:spPr>
            <a:solidFill>
              <a:schemeClr val="accent1"/>
            </a:solidFill>
            <a:ln>
              <a:noFill/>
            </a:ln>
            <a:effectLst>
              <a:outerShdw blurRad="50800" dist="38100" dir="2700000" algn="tl" rotWithShape="0">
                <a:prstClr val="black">
                  <a:alpha val="40000"/>
                </a:prstClr>
              </a:outerShdw>
            </a:effectLst>
          </c:spPr>
          <c:invertIfNegative val="0"/>
          <c:dPt>
            <c:idx val="0"/>
            <c:invertIfNegative val="0"/>
            <c:bubble3D val="0"/>
            <c:spPr>
              <a:solidFill>
                <a:srgbClr val="BEBCBA"/>
              </a:solidFill>
              <a:ln>
                <a:noFill/>
              </a:ln>
              <a:effectLst>
                <a:outerShdw blurRad="50800" dist="38100" dir="2700000" algn="tl" rotWithShape="0">
                  <a:prstClr val="black">
                    <a:alpha val="40000"/>
                  </a:prstClr>
                </a:outerShdw>
              </a:effectLst>
            </c:spPr>
          </c:dPt>
          <c:dPt>
            <c:idx val="1"/>
            <c:invertIfNegative val="0"/>
            <c:bubble3D val="0"/>
            <c:spPr>
              <a:solidFill>
                <a:srgbClr val="8585B0"/>
              </a:solidFill>
              <a:ln>
                <a:noFill/>
              </a:ln>
              <a:effectLst>
                <a:outerShdw blurRad="50800" dist="38100" dir="2700000" algn="tl" rotWithShape="0">
                  <a:prstClr val="black">
                    <a:alpha val="40000"/>
                  </a:prstClr>
                </a:outerShdw>
              </a:effectLst>
            </c:spPr>
          </c:dPt>
          <c:dPt>
            <c:idx val="2"/>
            <c:invertIfNegative val="0"/>
            <c:bubble3D val="0"/>
            <c:spPr>
              <a:solidFill>
                <a:srgbClr val="60B9B1"/>
              </a:solidFill>
              <a:ln>
                <a:noFill/>
              </a:ln>
              <a:effectLst>
                <a:outerShdw blurRad="50800" dist="38100" dir="2700000" algn="tl" rotWithShape="0">
                  <a:prstClr val="black">
                    <a:alpha val="40000"/>
                  </a:prstClr>
                </a:outerShdw>
              </a:effectLst>
            </c:spPr>
          </c:dPt>
          <c:dPt>
            <c:idx val="3"/>
            <c:invertIfNegative val="0"/>
            <c:bubble3D val="0"/>
            <c:spPr>
              <a:solidFill>
                <a:srgbClr val="77C3D8"/>
              </a:solidFill>
              <a:ln>
                <a:noFill/>
              </a:ln>
              <a:effectLst>
                <a:outerShdw blurRad="50800" dist="38100" dir="2700000" algn="tl" rotWithShape="0">
                  <a:prstClr val="black">
                    <a:alpha val="40000"/>
                  </a:prstClr>
                </a:outerShdw>
              </a:effectLst>
            </c:spPr>
          </c:dPt>
          <c:dPt>
            <c:idx val="4"/>
            <c:invertIfNegative val="0"/>
            <c:bubble3D val="0"/>
            <c:spPr>
              <a:solidFill>
                <a:srgbClr val="39417B"/>
              </a:solidFill>
              <a:ln>
                <a:noFill/>
              </a:ln>
              <a:effectLst>
                <a:outerShdw blurRad="50800" dist="38100" dir="2700000" algn="tl" rotWithShape="0">
                  <a:prstClr val="black">
                    <a:alpha val="40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Arkusz1!$A$106:$A$110</c:f>
              <c:strCache>
                <c:ptCount val="5"/>
                <c:pt idx="0">
                  <c:v>Maciej Formanowicz 
Fabryki Mebli FORTE SA</c:v>
                </c:pt>
                <c:pt idx="1">
                  <c:v>Tobias Solorz 
Cyfrowy Polsat SA</c:v>
                </c:pt>
                <c:pt idx="2">
                  <c:v>Dariusz Orłowski 
Wawel SA</c:v>
                </c:pt>
                <c:pt idx="3">
                  <c:v>Luigi Lovaglio 
Bank Polska Kasa Opieki SA</c:v>
                </c:pt>
                <c:pt idx="4">
                  <c:v>Janusz Filipiak
Comarch SA</c:v>
                </c:pt>
              </c:strCache>
            </c:strRef>
          </c:cat>
          <c:val>
            <c:numRef>
              <c:f>Arkusz1!$B$106:$B$110</c:f>
              <c:numCache>
                <c:formatCode>#,##0</c:formatCode>
                <c:ptCount val="5"/>
                <c:pt idx="0">
                  <c:v>4885000</c:v>
                </c:pt>
                <c:pt idx="1">
                  <c:v>5000000</c:v>
                </c:pt>
                <c:pt idx="2">
                  <c:v>7456000</c:v>
                </c:pt>
                <c:pt idx="3">
                  <c:v>9489000</c:v>
                </c:pt>
                <c:pt idx="4">
                  <c:v>15432268</c:v>
                </c:pt>
              </c:numCache>
            </c:numRef>
          </c:val>
        </c:ser>
        <c:dLbls>
          <c:showLegendKey val="0"/>
          <c:showVal val="0"/>
          <c:showCatName val="0"/>
          <c:showSerName val="0"/>
          <c:showPercent val="0"/>
          <c:showBubbleSize val="0"/>
        </c:dLbls>
        <c:gapWidth val="92"/>
        <c:axId val="203574968"/>
        <c:axId val="203577320"/>
      </c:barChart>
      <c:catAx>
        <c:axId val="2035749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pl-PL"/>
          </a:p>
        </c:txPr>
        <c:crossAx val="203577320"/>
        <c:crosses val="autoZero"/>
        <c:auto val="1"/>
        <c:lblAlgn val="ctr"/>
        <c:lblOffset val="100"/>
        <c:noMultiLvlLbl val="0"/>
      </c:catAx>
      <c:valAx>
        <c:axId val="203577320"/>
        <c:scaling>
          <c:orientation val="minMax"/>
        </c:scaling>
        <c:delete val="1"/>
        <c:axPos val="b"/>
        <c:numFmt formatCode="#,##0" sourceLinked="1"/>
        <c:majorTickMark val="none"/>
        <c:minorTickMark val="none"/>
        <c:tickLblPos val="nextTo"/>
        <c:crossAx val="20357496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2136445-7731-47CF-8696-AE1C59595861}" type="doc">
      <dgm:prSet loTypeId="urn:microsoft.com/office/officeart/2005/8/layout/process1" loCatId="process" qsTypeId="urn:microsoft.com/office/officeart/2005/8/quickstyle/simple1" qsCatId="simple" csTypeId="urn:microsoft.com/office/officeart/2005/8/colors/accent3_1" csCatId="accent3" phldr="1"/>
      <dgm:spPr/>
    </dgm:pt>
    <dgm:pt modelId="{66D074A5-EA54-42E7-B541-A8FBF1403F25}">
      <dgm:prSet phldrT="[Tekst]" custT="1"/>
      <dgm:spPr>
        <a:ln>
          <a:solidFill>
            <a:srgbClr val="39417B"/>
          </a:solidFill>
        </a:ln>
      </dgm:spPr>
      <dgm:t>
        <a:bodyPr/>
        <a:lstStyle/>
        <a:p>
          <a:r>
            <a:rPr lang="pl-PL" sz="1100"/>
            <a:t>25% osób </a:t>
          </a:r>
          <a:br>
            <a:rPr lang="pl-PL" sz="1100"/>
          </a:br>
          <a:r>
            <a:rPr lang="pl-PL" sz="1100"/>
            <a:t>zarabia poniżej </a:t>
          </a:r>
        </a:p>
        <a:p>
          <a:r>
            <a:rPr lang="pl-PL" sz="1400" b="1">
              <a:solidFill>
                <a:srgbClr val="39417B"/>
              </a:solidFill>
            </a:rPr>
            <a:t>359 329 PLN</a:t>
          </a:r>
        </a:p>
      </dgm:t>
    </dgm:pt>
    <dgm:pt modelId="{32F10799-7DF4-44D2-B889-FED48E37E553}" type="parTrans" cxnId="{43718303-F0DC-4409-BD41-0FEBCC562DE5}">
      <dgm:prSet/>
      <dgm:spPr/>
      <dgm:t>
        <a:bodyPr/>
        <a:lstStyle/>
        <a:p>
          <a:endParaRPr lang="pl-PL"/>
        </a:p>
      </dgm:t>
    </dgm:pt>
    <dgm:pt modelId="{397D74A3-A1D1-4682-B19D-65741DFE43E9}" type="sibTrans" cxnId="{43718303-F0DC-4409-BD41-0FEBCC562DE5}">
      <dgm:prSet/>
      <dgm:spPr>
        <a:solidFill>
          <a:srgbClr val="77C3D8"/>
        </a:solidFill>
      </dgm:spPr>
      <dgm:t>
        <a:bodyPr/>
        <a:lstStyle/>
        <a:p>
          <a:endParaRPr lang="pl-PL"/>
        </a:p>
      </dgm:t>
    </dgm:pt>
    <dgm:pt modelId="{EE96788F-1814-4019-AB55-DA4C8F201BD0}">
      <dgm:prSet phldrT="[Tekst]" custT="1"/>
      <dgm:spPr>
        <a:ln>
          <a:solidFill>
            <a:srgbClr val="39417B"/>
          </a:solidFill>
        </a:ln>
      </dgm:spPr>
      <dgm:t>
        <a:bodyPr/>
        <a:lstStyle/>
        <a:p>
          <a:r>
            <a:rPr lang="pl-PL" sz="1100" b="0">
              <a:solidFill>
                <a:schemeClr val="tx1"/>
              </a:solidFill>
            </a:rPr>
            <a:t>mediana</a:t>
          </a:r>
        </a:p>
        <a:p>
          <a:r>
            <a:rPr lang="pl-PL" sz="1400" b="1">
              <a:solidFill>
                <a:srgbClr val="77C3D8"/>
              </a:solidFill>
            </a:rPr>
            <a:t>601 000 PLN</a:t>
          </a:r>
        </a:p>
      </dgm:t>
    </dgm:pt>
    <dgm:pt modelId="{C3A96B13-63B8-4C97-8B04-861A64E47FE3}" type="parTrans" cxnId="{D6AD2240-0DDB-4C5B-9BE0-E153F0E03F94}">
      <dgm:prSet/>
      <dgm:spPr/>
      <dgm:t>
        <a:bodyPr/>
        <a:lstStyle/>
        <a:p>
          <a:endParaRPr lang="pl-PL"/>
        </a:p>
      </dgm:t>
    </dgm:pt>
    <dgm:pt modelId="{42EFE54D-0DE8-482E-9177-17B96553BB40}" type="sibTrans" cxnId="{D6AD2240-0DDB-4C5B-9BE0-E153F0E03F94}">
      <dgm:prSet/>
      <dgm:spPr>
        <a:solidFill>
          <a:srgbClr val="77C3D8"/>
        </a:solidFill>
      </dgm:spPr>
      <dgm:t>
        <a:bodyPr/>
        <a:lstStyle/>
        <a:p>
          <a:endParaRPr lang="pl-PL"/>
        </a:p>
      </dgm:t>
    </dgm:pt>
    <dgm:pt modelId="{9AC52779-16F4-4155-BA60-32143175165C}">
      <dgm:prSet phldrT="[Tekst]" custT="1"/>
      <dgm:spPr>
        <a:ln>
          <a:solidFill>
            <a:srgbClr val="39417B"/>
          </a:solidFill>
        </a:ln>
      </dgm:spPr>
      <dgm:t>
        <a:bodyPr/>
        <a:lstStyle/>
        <a:p>
          <a:r>
            <a:rPr lang="pl-PL" sz="1100"/>
            <a:t>25% osób </a:t>
          </a:r>
          <a:br>
            <a:rPr lang="pl-PL" sz="1100"/>
          </a:br>
          <a:r>
            <a:rPr lang="pl-PL" sz="1100"/>
            <a:t>zarabia powyżej</a:t>
          </a:r>
        </a:p>
        <a:p>
          <a:r>
            <a:rPr lang="pl-PL" sz="1400" b="1">
              <a:solidFill>
                <a:srgbClr val="39417B"/>
              </a:solidFill>
            </a:rPr>
            <a:t>1 146 000 PLN</a:t>
          </a:r>
        </a:p>
      </dgm:t>
    </dgm:pt>
    <dgm:pt modelId="{F1DCE681-583E-4E97-82E4-3BDD21B8E4E3}" type="parTrans" cxnId="{D7B3B1F0-076C-4BC4-A8FE-A2CBDDBD1CB4}">
      <dgm:prSet/>
      <dgm:spPr/>
      <dgm:t>
        <a:bodyPr/>
        <a:lstStyle/>
        <a:p>
          <a:endParaRPr lang="pl-PL"/>
        </a:p>
      </dgm:t>
    </dgm:pt>
    <dgm:pt modelId="{BF68651B-CFB7-4073-AEF9-CA323740BB91}" type="sibTrans" cxnId="{D7B3B1F0-076C-4BC4-A8FE-A2CBDDBD1CB4}">
      <dgm:prSet/>
      <dgm:spPr/>
      <dgm:t>
        <a:bodyPr/>
        <a:lstStyle/>
        <a:p>
          <a:endParaRPr lang="pl-PL"/>
        </a:p>
      </dgm:t>
    </dgm:pt>
    <dgm:pt modelId="{EF7FDCCA-23BC-4E0B-9F58-631C93A39CF4}" type="pres">
      <dgm:prSet presAssocID="{12136445-7731-47CF-8696-AE1C59595861}" presName="Name0" presStyleCnt="0">
        <dgm:presLayoutVars>
          <dgm:dir/>
          <dgm:resizeHandles val="exact"/>
        </dgm:presLayoutVars>
      </dgm:prSet>
      <dgm:spPr/>
    </dgm:pt>
    <dgm:pt modelId="{D0E8CA50-7CD0-4A07-B36D-BC4BC16158AE}" type="pres">
      <dgm:prSet presAssocID="{66D074A5-EA54-42E7-B541-A8FBF1403F25}" presName="node" presStyleLbl="node1" presStyleIdx="0" presStyleCnt="3">
        <dgm:presLayoutVars>
          <dgm:bulletEnabled val="1"/>
        </dgm:presLayoutVars>
      </dgm:prSet>
      <dgm:spPr/>
      <dgm:t>
        <a:bodyPr/>
        <a:lstStyle/>
        <a:p>
          <a:endParaRPr lang="pl-PL"/>
        </a:p>
      </dgm:t>
    </dgm:pt>
    <dgm:pt modelId="{542F4E8E-BD4F-427A-8CAD-EFB5967108C8}" type="pres">
      <dgm:prSet presAssocID="{397D74A3-A1D1-4682-B19D-65741DFE43E9}" presName="sibTrans" presStyleLbl="sibTrans2D1" presStyleIdx="0" presStyleCnt="2" custAng="10800000"/>
      <dgm:spPr/>
      <dgm:t>
        <a:bodyPr/>
        <a:lstStyle/>
        <a:p>
          <a:endParaRPr lang="pl-PL"/>
        </a:p>
      </dgm:t>
    </dgm:pt>
    <dgm:pt modelId="{3FB4DF57-1463-486D-95E1-33EE0731E616}" type="pres">
      <dgm:prSet presAssocID="{397D74A3-A1D1-4682-B19D-65741DFE43E9}" presName="connectorText" presStyleLbl="sibTrans2D1" presStyleIdx="0" presStyleCnt="2"/>
      <dgm:spPr/>
      <dgm:t>
        <a:bodyPr/>
        <a:lstStyle/>
        <a:p>
          <a:endParaRPr lang="pl-PL"/>
        </a:p>
      </dgm:t>
    </dgm:pt>
    <dgm:pt modelId="{1435408A-E927-4E0B-9D27-8BDCD0BBCA09}" type="pres">
      <dgm:prSet presAssocID="{EE96788F-1814-4019-AB55-DA4C8F201BD0}" presName="node" presStyleLbl="node1" presStyleIdx="1" presStyleCnt="3">
        <dgm:presLayoutVars>
          <dgm:bulletEnabled val="1"/>
        </dgm:presLayoutVars>
      </dgm:prSet>
      <dgm:spPr/>
      <dgm:t>
        <a:bodyPr/>
        <a:lstStyle/>
        <a:p>
          <a:endParaRPr lang="pl-PL"/>
        </a:p>
      </dgm:t>
    </dgm:pt>
    <dgm:pt modelId="{3FF01A69-DF60-4078-B659-1F9BD1ED6CD7}" type="pres">
      <dgm:prSet presAssocID="{42EFE54D-0DE8-482E-9177-17B96553BB40}" presName="sibTrans" presStyleLbl="sibTrans2D1" presStyleIdx="1" presStyleCnt="2"/>
      <dgm:spPr/>
      <dgm:t>
        <a:bodyPr/>
        <a:lstStyle/>
        <a:p>
          <a:endParaRPr lang="pl-PL"/>
        </a:p>
      </dgm:t>
    </dgm:pt>
    <dgm:pt modelId="{DE212212-723B-44DB-82C7-17DD8F2C9440}" type="pres">
      <dgm:prSet presAssocID="{42EFE54D-0DE8-482E-9177-17B96553BB40}" presName="connectorText" presStyleLbl="sibTrans2D1" presStyleIdx="1" presStyleCnt="2"/>
      <dgm:spPr/>
      <dgm:t>
        <a:bodyPr/>
        <a:lstStyle/>
        <a:p>
          <a:endParaRPr lang="pl-PL"/>
        </a:p>
      </dgm:t>
    </dgm:pt>
    <dgm:pt modelId="{D107745A-1688-468F-996D-46575AF9A76B}" type="pres">
      <dgm:prSet presAssocID="{9AC52779-16F4-4155-BA60-32143175165C}" presName="node" presStyleLbl="node1" presStyleIdx="2" presStyleCnt="3">
        <dgm:presLayoutVars>
          <dgm:bulletEnabled val="1"/>
        </dgm:presLayoutVars>
      </dgm:prSet>
      <dgm:spPr/>
      <dgm:t>
        <a:bodyPr/>
        <a:lstStyle/>
        <a:p>
          <a:endParaRPr lang="pl-PL"/>
        </a:p>
      </dgm:t>
    </dgm:pt>
  </dgm:ptLst>
  <dgm:cxnLst>
    <dgm:cxn modelId="{D6AD2240-0DDB-4C5B-9BE0-E153F0E03F94}" srcId="{12136445-7731-47CF-8696-AE1C59595861}" destId="{EE96788F-1814-4019-AB55-DA4C8F201BD0}" srcOrd="1" destOrd="0" parTransId="{C3A96B13-63B8-4C97-8B04-861A64E47FE3}" sibTransId="{42EFE54D-0DE8-482E-9177-17B96553BB40}"/>
    <dgm:cxn modelId="{FD14F0A6-BC8A-41D0-8FE6-E07BC48B951C}" type="presOf" srcId="{42EFE54D-0DE8-482E-9177-17B96553BB40}" destId="{3FF01A69-DF60-4078-B659-1F9BD1ED6CD7}" srcOrd="0" destOrd="0" presId="urn:microsoft.com/office/officeart/2005/8/layout/process1"/>
    <dgm:cxn modelId="{43718303-F0DC-4409-BD41-0FEBCC562DE5}" srcId="{12136445-7731-47CF-8696-AE1C59595861}" destId="{66D074A5-EA54-42E7-B541-A8FBF1403F25}" srcOrd="0" destOrd="0" parTransId="{32F10799-7DF4-44D2-B889-FED48E37E553}" sibTransId="{397D74A3-A1D1-4682-B19D-65741DFE43E9}"/>
    <dgm:cxn modelId="{CE7A061C-71A3-4CC7-9336-0964AFA577F6}" type="presOf" srcId="{9AC52779-16F4-4155-BA60-32143175165C}" destId="{D107745A-1688-468F-996D-46575AF9A76B}" srcOrd="0" destOrd="0" presId="urn:microsoft.com/office/officeart/2005/8/layout/process1"/>
    <dgm:cxn modelId="{BC74C0C4-AD95-446E-8C7D-8157386BAE97}" type="presOf" srcId="{66D074A5-EA54-42E7-B541-A8FBF1403F25}" destId="{D0E8CA50-7CD0-4A07-B36D-BC4BC16158AE}" srcOrd="0" destOrd="0" presId="urn:microsoft.com/office/officeart/2005/8/layout/process1"/>
    <dgm:cxn modelId="{D7B3B1F0-076C-4BC4-A8FE-A2CBDDBD1CB4}" srcId="{12136445-7731-47CF-8696-AE1C59595861}" destId="{9AC52779-16F4-4155-BA60-32143175165C}" srcOrd="2" destOrd="0" parTransId="{F1DCE681-583E-4E97-82E4-3BDD21B8E4E3}" sibTransId="{BF68651B-CFB7-4073-AEF9-CA323740BB91}"/>
    <dgm:cxn modelId="{6229C633-980C-4DE5-9D42-2D6856F29C34}" type="presOf" srcId="{42EFE54D-0DE8-482E-9177-17B96553BB40}" destId="{DE212212-723B-44DB-82C7-17DD8F2C9440}" srcOrd="1" destOrd="0" presId="urn:microsoft.com/office/officeart/2005/8/layout/process1"/>
    <dgm:cxn modelId="{B4031ECD-4BEC-4C3E-A223-803BABB4828F}" type="presOf" srcId="{397D74A3-A1D1-4682-B19D-65741DFE43E9}" destId="{542F4E8E-BD4F-427A-8CAD-EFB5967108C8}" srcOrd="0" destOrd="0" presId="urn:microsoft.com/office/officeart/2005/8/layout/process1"/>
    <dgm:cxn modelId="{9CD29F47-B222-43CE-B9DD-37567F371B87}" type="presOf" srcId="{EE96788F-1814-4019-AB55-DA4C8F201BD0}" destId="{1435408A-E927-4E0B-9D27-8BDCD0BBCA09}" srcOrd="0" destOrd="0" presId="urn:microsoft.com/office/officeart/2005/8/layout/process1"/>
    <dgm:cxn modelId="{FFC780D4-DE65-49B4-A03B-A5378D684C12}" type="presOf" srcId="{397D74A3-A1D1-4682-B19D-65741DFE43E9}" destId="{3FB4DF57-1463-486D-95E1-33EE0731E616}" srcOrd="1" destOrd="0" presId="urn:microsoft.com/office/officeart/2005/8/layout/process1"/>
    <dgm:cxn modelId="{B0FEC463-695E-4244-A097-2456CBD08AB3}" type="presOf" srcId="{12136445-7731-47CF-8696-AE1C59595861}" destId="{EF7FDCCA-23BC-4E0B-9F58-631C93A39CF4}" srcOrd="0" destOrd="0" presId="urn:microsoft.com/office/officeart/2005/8/layout/process1"/>
    <dgm:cxn modelId="{6AE4CD0C-8B90-461C-9795-4E04A817B37E}" type="presParOf" srcId="{EF7FDCCA-23BC-4E0B-9F58-631C93A39CF4}" destId="{D0E8CA50-7CD0-4A07-B36D-BC4BC16158AE}" srcOrd="0" destOrd="0" presId="urn:microsoft.com/office/officeart/2005/8/layout/process1"/>
    <dgm:cxn modelId="{6624EE53-1678-4619-AAD8-91391BAF3F29}" type="presParOf" srcId="{EF7FDCCA-23BC-4E0B-9F58-631C93A39CF4}" destId="{542F4E8E-BD4F-427A-8CAD-EFB5967108C8}" srcOrd="1" destOrd="0" presId="urn:microsoft.com/office/officeart/2005/8/layout/process1"/>
    <dgm:cxn modelId="{2A325C79-175C-4B05-947D-CF93A523472D}" type="presParOf" srcId="{542F4E8E-BD4F-427A-8CAD-EFB5967108C8}" destId="{3FB4DF57-1463-486D-95E1-33EE0731E616}" srcOrd="0" destOrd="0" presId="urn:microsoft.com/office/officeart/2005/8/layout/process1"/>
    <dgm:cxn modelId="{748F5163-2295-4F03-AC34-F1916A59E327}" type="presParOf" srcId="{EF7FDCCA-23BC-4E0B-9F58-631C93A39CF4}" destId="{1435408A-E927-4E0B-9D27-8BDCD0BBCA09}" srcOrd="2" destOrd="0" presId="urn:microsoft.com/office/officeart/2005/8/layout/process1"/>
    <dgm:cxn modelId="{A0E731C1-034F-453E-A69E-F6578BA97B30}" type="presParOf" srcId="{EF7FDCCA-23BC-4E0B-9F58-631C93A39CF4}" destId="{3FF01A69-DF60-4078-B659-1F9BD1ED6CD7}" srcOrd="3" destOrd="0" presId="urn:microsoft.com/office/officeart/2005/8/layout/process1"/>
    <dgm:cxn modelId="{ECCDB41F-7452-4F57-B3DC-1FD2A07E1E22}" type="presParOf" srcId="{3FF01A69-DF60-4078-B659-1F9BD1ED6CD7}" destId="{DE212212-723B-44DB-82C7-17DD8F2C9440}" srcOrd="0" destOrd="0" presId="urn:microsoft.com/office/officeart/2005/8/layout/process1"/>
    <dgm:cxn modelId="{B39CD650-42AD-4671-A1C8-0FCF6A1317F5}" type="presParOf" srcId="{EF7FDCCA-23BC-4E0B-9F58-631C93A39CF4}" destId="{D107745A-1688-468F-996D-46575AF9A76B}" srcOrd="4" destOrd="0" presId="urn:microsoft.com/office/officeart/2005/8/layout/process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0E8CA50-7CD0-4A07-B36D-BC4BC16158AE}">
      <dsp:nvSpPr>
        <dsp:cNvPr id="0" name=""/>
        <dsp:cNvSpPr/>
      </dsp:nvSpPr>
      <dsp:spPr>
        <a:xfrm>
          <a:off x="4822" y="0"/>
          <a:ext cx="1441251" cy="843915"/>
        </a:xfrm>
        <a:prstGeom prst="roundRect">
          <a:avLst>
            <a:gd name="adj" fmla="val 10000"/>
          </a:avLst>
        </a:prstGeom>
        <a:solidFill>
          <a:schemeClr val="lt1">
            <a:hueOff val="0"/>
            <a:satOff val="0"/>
            <a:lumOff val="0"/>
            <a:alphaOff val="0"/>
          </a:schemeClr>
        </a:solidFill>
        <a:ln w="25400" cap="flat" cmpd="sng" algn="ctr">
          <a:solidFill>
            <a:srgbClr val="39417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kern="1200"/>
            <a:t>25% osób </a:t>
          </a:r>
          <a:br>
            <a:rPr lang="pl-PL" sz="1100" kern="1200"/>
          </a:br>
          <a:r>
            <a:rPr lang="pl-PL" sz="1100" kern="1200"/>
            <a:t>zarabia poniżej </a:t>
          </a:r>
        </a:p>
        <a:p>
          <a:pPr lvl="0" algn="ctr" defTabSz="488950">
            <a:lnSpc>
              <a:spcPct val="90000"/>
            </a:lnSpc>
            <a:spcBef>
              <a:spcPct val="0"/>
            </a:spcBef>
            <a:spcAft>
              <a:spcPct val="35000"/>
            </a:spcAft>
          </a:pPr>
          <a:r>
            <a:rPr lang="pl-PL" sz="1400" b="1" kern="1200">
              <a:solidFill>
                <a:srgbClr val="39417B"/>
              </a:solidFill>
            </a:rPr>
            <a:t>359 329 PLN</a:t>
          </a:r>
        </a:p>
      </dsp:txBody>
      <dsp:txXfrm>
        <a:off x="29539" y="24717"/>
        <a:ext cx="1391817" cy="794481"/>
      </dsp:txXfrm>
    </dsp:sp>
    <dsp:sp modelId="{542F4E8E-BD4F-427A-8CAD-EFB5967108C8}">
      <dsp:nvSpPr>
        <dsp:cNvPr id="0" name=""/>
        <dsp:cNvSpPr/>
      </dsp:nvSpPr>
      <dsp:spPr>
        <a:xfrm rot="10800000">
          <a:off x="1590198" y="243242"/>
          <a:ext cx="305545" cy="357430"/>
        </a:xfrm>
        <a:prstGeom prst="rightArrow">
          <a:avLst>
            <a:gd name="adj1" fmla="val 60000"/>
            <a:gd name="adj2" fmla="val 50000"/>
          </a:avLst>
        </a:prstGeom>
        <a:solidFill>
          <a:srgbClr val="77C3D8"/>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pl-PL" sz="1500" kern="1200"/>
        </a:p>
      </dsp:txBody>
      <dsp:txXfrm>
        <a:off x="1681861" y="314728"/>
        <a:ext cx="213882" cy="214458"/>
      </dsp:txXfrm>
    </dsp:sp>
    <dsp:sp modelId="{1435408A-E927-4E0B-9D27-8BDCD0BBCA09}">
      <dsp:nvSpPr>
        <dsp:cNvPr id="0" name=""/>
        <dsp:cNvSpPr/>
      </dsp:nvSpPr>
      <dsp:spPr>
        <a:xfrm>
          <a:off x="2022574" y="0"/>
          <a:ext cx="1441251" cy="843915"/>
        </a:xfrm>
        <a:prstGeom prst="roundRect">
          <a:avLst>
            <a:gd name="adj" fmla="val 10000"/>
          </a:avLst>
        </a:prstGeom>
        <a:solidFill>
          <a:schemeClr val="lt1">
            <a:hueOff val="0"/>
            <a:satOff val="0"/>
            <a:lumOff val="0"/>
            <a:alphaOff val="0"/>
          </a:schemeClr>
        </a:solidFill>
        <a:ln w="25400" cap="flat" cmpd="sng" algn="ctr">
          <a:solidFill>
            <a:srgbClr val="39417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b="0" kern="1200">
              <a:solidFill>
                <a:schemeClr val="tx1"/>
              </a:solidFill>
            </a:rPr>
            <a:t>mediana</a:t>
          </a:r>
        </a:p>
        <a:p>
          <a:pPr lvl="0" algn="ctr" defTabSz="488950">
            <a:lnSpc>
              <a:spcPct val="90000"/>
            </a:lnSpc>
            <a:spcBef>
              <a:spcPct val="0"/>
            </a:spcBef>
            <a:spcAft>
              <a:spcPct val="35000"/>
            </a:spcAft>
          </a:pPr>
          <a:r>
            <a:rPr lang="pl-PL" sz="1400" b="1" kern="1200">
              <a:solidFill>
                <a:srgbClr val="77C3D8"/>
              </a:solidFill>
            </a:rPr>
            <a:t>601 000 PLN</a:t>
          </a:r>
        </a:p>
      </dsp:txBody>
      <dsp:txXfrm>
        <a:off x="2047291" y="24717"/>
        <a:ext cx="1391817" cy="794481"/>
      </dsp:txXfrm>
    </dsp:sp>
    <dsp:sp modelId="{3FF01A69-DF60-4078-B659-1F9BD1ED6CD7}">
      <dsp:nvSpPr>
        <dsp:cNvPr id="0" name=""/>
        <dsp:cNvSpPr/>
      </dsp:nvSpPr>
      <dsp:spPr>
        <a:xfrm>
          <a:off x="3607950" y="243242"/>
          <a:ext cx="305545" cy="357430"/>
        </a:xfrm>
        <a:prstGeom prst="rightArrow">
          <a:avLst>
            <a:gd name="adj1" fmla="val 60000"/>
            <a:gd name="adj2" fmla="val 50000"/>
          </a:avLst>
        </a:prstGeom>
        <a:solidFill>
          <a:srgbClr val="77C3D8"/>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pl-PL" sz="1500" kern="1200"/>
        </a:p>
      </dsp:txBody>
      <dsp:txXfrm>
        <a:off x="3607950" y="314728"/>
        <a:ext cx="213882" cy="214458"/>
      </dsp:txXfrm>
    </dsp:sp>
    <dsp:sp modelId="{D107745A-1688-468F-996D-46575AF9A76B}">
      <dsp:nvSpPr>
        <dsp:cNvPr id="0" name=""/>
        <dsp:cNvSpPr/>
      </dsp:nvSpPr>
      <dsp:spPr>
        <a:xfrm>
          <a:off x="4040326" y="0"/>
          <a:ext cx="1441251" cy="843915"/>
        </a:xfrm>
        <a:prstGeom prst="roundRect">
          <a:avLst>
            <a:gd name="adj" fmla="val 10000"/>
          </a:avLst>
        </a:prstGeom>
        <a:solidFill>
          <a:schemeClr val="lt1">
            <a:hueOff val="0"/>
            <a:satOff val="0"/>
            <a:lumOff val="0"/>
            <a:alphaOff val="0"/>
          </a:schemeClr>
        </a:solidFill>
        <a:ln w="25400" cap="flat" cmpd="sng" algn="ctr">
          <a:solidFill>
            <a:srgbClr val="39417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kern="1200"/>
            <a:t>25% osób </a:t>
          </a:r>
          <a:br>
            <a:rPr lang="pl-PL" sz="1100" kern="1200"/>
          </a:br>
          <a:r>
            <a:rPr lang="pl-PL" sz="1100" kern="1200"/>
            <a:t>zarabia powyżej</a:t>
          </a:r>
        </a:p>
        <a:p>
          <a:pPr lvl="0" algn="ctr" defTabSz="488950">
            <a:lnSpc>
              <a:spcPct val="90000"/>
            </a:lnSpc>
            <a:spcBef>
              <a:spcPct val="0"/>
            </a:spcBef>
            <a:spcAft>
              <a:spcPct val="35000"/>
            </a:spcAft>
          </a:pPr>
          <a:r>
            <a:rPr lang="pl-PL" sz="1400" b="1" kern="1200">
              <a:solidFill>
                <a:srgbClr val="39417B"/>
              </a:solidFill>
            </a:rPr>
            <a:t>1 146 000 PLN</a:t>
          </a:r>
        </a:p>
      </dsp:txBody>
      <dsp:txXfrm>
        <a:off x="4065043" y="24717"/>
        <a:ext cx="1391817" cy="79448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69BE4-A3C3-40C6-A363-4945A9D39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782</Words>
  <Characters>4696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5468</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Konrad Akowacz</cp:lastModifiedBy>
  <cp:revision>11</cp:revision>
  <cp:lastPrinted>2016-03-18T13:44:00Z</cp:lastPrinted>
  <dcterms:created xsi:type="dcterms:W3CDTF">2016-06-06T13:28:00Z</dcterms:created>
  <dcterms:modified xsi:type="dcterms:W3CDTF">2016-08-30T07:05:00Z</dcterms:modified>
</cp:coreProperties>
</file>