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A66254"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23.11.2018</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val="en-US"/>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0C5E01"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A66254" w:rsidRDefault="00A66254" w:rsidP="00A66254">
      <w:pPr>
        <w:spacing w:line="360" w:lineRule="auto"/>
        <w:jc w:val="center"/>
        <w:rPr>
          <w:rFonts w:ascii="Calibri" w:eastAsia="Calibri" w:hAnsi="Calibri"/>
          <w:b/>
          <w:caps/>
          <w:color w:val="4472C4"/>
          <w:sz w:val="32"/>
          <w:szCs w:val="32"/>
          <w14:textFill>
            <w14:solidFill>
              <w14:srgbClr w14:val="4472C4">
                <w14:lumMod w14:val="50000"/>
              </w14:srgbClr>
            </w14:solidFill>
          </w14:textFill>
        </w:rPr>
      </w:pPr>
    </w:p>
    <w:p w:rsidR="00A66254" w:rsidRPr="00A66254" w:rsidRDefault="00A66254" w:rsidP="00A66254">
      <w:pPr>
        <w:spacing w:line="360" w:lineRule="auto"/>
        <w:jc w:val="center"/>
        <w:rPr>
          <w:rFonts w:ascii="Calibri" w:eastAsia="Calibri" w:hAnsi="Calibri"/>
          <w:b/>
          <w:caps/>
          <w:color w:val="4472C4"/>
          <w:sz w:val="32"/>
          <w:szCs w:val="32"/>
          <w14:textFill>
            <w14:solidFill>
              <w14:srgbClr w14:val="4472C4">
                <w14:lumMod w14:val="50000"/>
              </w14:srgbClr>
            </w14:solidFill>
          </w14:textFill>
        </w:rPr>
      </w:pPr>
      <w:r w:rsidRPr="00A66254">
        <w:rPr>
          <w:rFonts w:ascii="Calibri" w:eastAsia="Calibri" w:hAnsi="Calibri"/>
          <w:b/>
          <w:caps/>
          <w:color w:val="4472C4"/>
          <w:sz w:val="32"/>
          <w:szCs w:val="32"/>
          <w14:textFill>
            <w14:solidFill>
              <w14:srgbClr w14:val="4472C4">
                <w14:lumMod w14:val="50000"/>
              </w14:srgbClr>
            </w14:solidFill>
          </w14:textFill>
        </w:rPr>
        <w:t>Dlaczego i Jak projektuje się odrębne systemy wynagrodzeń dla kadry zarządzającej?</w:t>
      </w:r>
    </w:p>
    <w:p w:rsidR="00A66254" w:rsidRPr="00A66254" w:rsidRDefault="00A66254" w:rsidP="00A66254">
      <w:pPr>
        <w:spacing w:line="360" w:lineRule="auto"/>
        <w:jc w:val="center"/>
        <w:rPr>
          <w:rFonts w:ascii="Calibri" w:eastAsia="Calibri" w:hAnsi="Calibri"/>
          <w:b/>
          <w:caps/>
          <w:color w:val="4472C4"/>
          <w:sz w:val="32"/>
          <w:szCs w:val="32"/>
          <w14:textFill>
            <w14:solidFill>
              <w14:srgbClr w14:val="4472C4">
                <w14:lumMod w14:val="50000"/>
              </w14:srgbClr>
            </w14:solidFill>
          </w14:textFill>
        </w:rPr>
      </w:pPr>
    </w:p>
    <w:p w:rsidR="000C5E01" w:rsidRDefault="00A66254" w:rsidP="00A66254">
      <w:pPr>
        <w:spacing w:line="276" w:lineRule="auto"/>
        <w:jc w:val="both"/>
        <w:rPr>
          <w:rFonts w:ascii="Calibri" w:eastAsia="Calibri" w:hAnsi="Calibri"/>
          <w:b/>
          <w:szCs w:val="22"/>
        </w:rPr>
      </w:pPr>
      <w:r w:rsidRPr="00A66254">
        <w:rPr>
          <w:rFonts w:ascii="Calibri" w:eastAsia="Calibri" w:hAnsi="Calibri"/>
          <w:b/>
          <w:szCs w:val="22"/>
        </w:rPr>
        <w:t xml:space="preserve">Dyskutując o wynagradzaniu kadry zarządzającej lubię przywoływać pewną metaforę. Wyobraźmy sobie, że dysponujemy świetnym, sportowym samochodem, wyposażonym w najnowsze technologie i zaprojektowanym przy użyciu najlepszych materiałów. Sami jednak nie mamy prawa jazdy lub jesteśmy bardzo kiepskim kierowcą. Za zadanie dostajemy wystartowanie w wyścigu samochodowym. Łatwo sobie wyobrazić, jak to może się dla nas skończyć - dojedziemy albo ostatni, albo przygodę zakończymy na barierkach. Sytuacja ta, wbrew pozorom, jest bardzo podobna do funkcjonowania przedsiębiorstwa. </w:t>
      </w:r>
    </w:p>
    <w:p w:rsidR="000C5E01" w:rsidRDefault="000C5E01" w:rsidP="00A66254">
      <w:pPr>
        <w:spacing w:line="276" w:lineRule="auto"/>
        <w:jc w:val="both"/>
        <w:rPr>
          <w:rFonts w:ascii="Calibri" w:eastAsia="Calibri" w:hAnsi="Calibri"/>
          <w:b/>
          <w:szCs w:val="22"/>
        </w:rPr>
      </w:pPr>
    </w:p>
    <w:p w:rsidR="00A66254" w:rsidRPr="000C5E01" w:rsidRDefault="00A66254" w:rsidP="00A66254">
      <w:pPr>
        <w:spacing w:line="276" w:lineRule="auto"/>
        <w:jc w:val="both"/>
        <w:rPr>
          <w:rFonts w:ascii="Calibri" w:eastAsia="Calibri" w:hAnsi="Calibri"/>
          <w:szCs w:val="22"/>
        </w:rPr>
      </w:pPr>
      <w:bookmarkStart w:id="0" w:name="_GoBack"/>
      <w:r w:rsidRPr="000C5E01">
        <w:rPr>
          <w:rFonts w:ascii="Calibri" w:eastAsia="Calibri" w:hAnsi="Calibri"/>
          <w:szCs w:val="22"/>
        </w:rPr>
        <w:t>Firma posiadająca najlepszych specjalistów, dysponująca bardzo dobrym finansowaniem i działająca na bardzo zyskownym rynku, bez właściwego kierowcy, czyli kadry zarządzającej, za daleko nie zajedzie. Potencjał i owszem, będzie bardzo duży, ale co z tego wyjdzie, to już osobna historia. Dlatego, dla każdej organizacji tak ważnym jest, aby zatrudniać jak najlepszą kadrę, która będzie sterować przedsiębiorstwem we właściwy sposób.</w:t>
      </w:r>
    </w:p>
    <w:bookmarkEnd w:id="0"/>
    <w:p w:rsidR="00A66254" w:rsidRPr="00A66254" w:rsidRDefault="00A66254" w:rsidP="00A66254">
      <w:pPr>
        <w:spacing w:line="276" w:lineRule="auto"/>
        <w:jc w:val="both"/>
        <w:rPr>
          <w:rFonts w:ascii="Calibri" w:eastAsia="Calibri" w:hAnsi="Calibri"/>
          <w:szCs w:val="22"/>
        </w:rPr>
      </w:pPr>
    </w:p>
    <w:p w:rsidR="00A66254" w:rsidRPr="00A66254" w:rsidRDefault="00A66254" w:rsidP="00A66254">
      <w:pPr>
        <w:spacing w:line="276" w:lineRule="auto"/>
        <w:jc w:val="both"/>
        <w:rPr>
          <w:rFonts w:ascii="Calibri" w:eastAsia="Calibri" w:hAnsi="Calibri"/>
          <w:szCs w:val="22"/>
        </w:rPr>
      </w:pPr>
      <w:r w:rsidRPr="00A66254">
        <w:rPr>
          <w:rFonts w:ascii="Calibri" w:eastAsia="Calibri" w:hAnsi="Calibri"/>
          <w:szCs w:val="22"/>
        </w:rPr>
        <w:t xml:space="preserve">Najważniejszym powodem, dla którego, projektuje się osobne systemy wynagradzania kadry menedżerskiej jest przede wszystkim szeroki zakres ich odpowiedzialności. Od ich decyzji często zależą losy całego przedsiębiorstwa. Osobnym tematem jest wielkość kwot, jakie otrzymują lub mogą otrzymać pod postacią wynagrodzenia zmiennego. Możliwe do pozyskania sumy stanowią duży wydatek dla przedsiębiorstwa (czasami nawet kilka procent zysków) i silne źródło motywacji dla menedżera. Wielkość oferowanych kwot może uzmysłowić tabela 1., gdzie podano roczne kwoty wynagrodzenia najwyżej opłacanych CEO w USA. Dlatego tak ważne jest, aby motywacja ta była powiązana z interesem firmy. Dobrym przykładem, do czego mogą doprowadzić niewłaściwie wydatkowane pieniądze na uposażenie członków zarządów są kolejne kryzysy finansowe. </w:t>
      </w:r>
    </w:p>
    <w:p w:rsidR="00A66254" w:rsidRPr="00A66254" w:rsidRDefault="00A66254" w:rsidP="00A66254">
      <w:pPr>
        <w:spacing w:after="160" w:line="276" w:lineRule="auto"/>
        <w:rPr>
          <w:rFonts w:ascii="Calibri" w:eastAsia="Calibri" w:hAnsi="Calibri"/>
          <w:szCs w:val="22"/>
        </w:rPr>
      </w:pPr>
      <w:r w:rsidRPr="00A66254">
        <w:rPr>
          <w:rFonts w:ascii="Calibri" w:eastAsia="Calibri" w:hAnsi="Calibri"/>
          <w:szCs w:val="22"/>
        </w:rPr>
        <w:br w:type="page"/>
      </w:r>
    </w:p>
    <w:p w:rsidR="00A66254" w:rsidRPr="00A66254" w:rsidRDefault="00A66254" w:rsidP="00A66254">
      <w:pPr>
        <w:spacing w:line="276" w:lineRule="auto"/>
        <w:jc w:val="center"/>
        <w:rPr>
          <w:rFonts w:ascii="Calibri" w:eastAsia="Calibri" w:hAnsi="Calibri"/>
          <w:b/>
          <w:color w:val="44546A"/>
        </w:rPr>
      </w:pPr>
      <w:r w:rsidRPr="00A66254">
        <w:rPr>
          <w:rFonts w:ascii="Calibri" w:eastAsia="Calibri" w:hAnsi="Calibri"/>
          <w:b/>
          <w:color w:val="44546A"/>
        </w:rPr>
        <w:lastRenderedPageBreak/>
        <w:t>Tabela 1. Najwyżej wynagradzani CEO w USA w 2017 roku</w:t>
      </w:r>
    </w:p>
    <w:tbl>
      <w:tblPr>
        <w:tblStyle w:val="Tabela-Siatka6"/>
        <w:tblW w:w="0" w:type="auto"/>
        <w:tblBorders>
          <w:top w:val="none" w:sz="0" w:space="0" w:color="auto"/>
          <w:left w:val="none" w:sz="0" w:space="0" w:color="auto"/>
          <w:bottom w:val="none" w:sz="0" w:space="0" w:color="auto"/>
          <w:right w:val="none" w:sz="0" w:space="0" w:color="auto"/>
          <w:insideH w:val="single" w:sz="4" w:space="0" w:color="ED7D31"/>
          <w:insideV w:val="none" w:sz="0" w:space="0" w:color="auto"/>
        </w:tblBorders>
        <w:tblLook w:val="04A0" w:firstRow="1" w:lastRow="0" w:firstColumn="1" w:lastColumn="0" w:noHBand="0" w:noVBand="1"/>
      </w:tblPr>
      <w:tblGrid>
        <w:gridCol w:w="704"/>
        <w:gridCol w:w="2835"/>
        <w:gridCol w:w="3124"/>
        <w:gridCol w:w="2399"/>
      </w:tblGrid>
      <w:tr w:rsidR="00A66254" w:rsidRPr="00A66254" w:rsidTr="00A66254">
        <w:trPr>
          <w:trHeight w:val="567"/>
        </w:trPr>
        <w:tc>
          <w:tcPr>
            <w:tcW w:w="704" w:type="dxa"/>
            <w:shd w:val="clear" w:color="auto" w:fill="F4B083"/>
            <w:vAlign w:val="center"/>
          </w:tcPr>
          <w:p w:rsidR="00A66254" w:rsidRPr="00A66254" w:rsidRDefault="00A66254" w:rsidP="00A66254">
            <w:pPr>
              <w:spacing w:line="276" w:lineRule="auto"/>
              <w:jc w:val="center"/>
              <w:rPr>
                <w:rFonts w:ascii="Calibri" w:eastAsia="Calibri" w:hAnsi="Calibri"/>
                <w:b/>
                <w:color w:val="808080"/>
                <w:szCs w:val="22"/>
              </w:rPr>
            </w:pPr>
          </w:p>
        </w:tc>
        <w:tc>
          <w:tcPr>
            <w:tcW w:w="2835" w:type="dxa"/>
            <w:shd w:val="clear" w:color="auto" w:fill="F4B083"/>
            <w:vAlign w:val="center"/>
          </w:tcPr>
          <w:p w:rsidR="00A66254" w:rsidRPr="00A66254" w:rsidRDefault="00A66254" w:rsidP="00A66254">
            <w:pPr>
              <w:spacing w:line="276" w:lineRule="auto"/>
              <w:jc w:val="center"/>
              <w:rPr>
                <w:rFonts w:ascii="Calibri" w:eastAsia="Calibri" w:hAnsi="Calibri"/>
                <w:b/>
                <w:color w:val="808080"/>
                <w:szCs w:val="22"/>
              </w:rPr>
            </w:pPr>
            <w:r w:rsidRPr="00A66254">
              <w:rPr>
                <w:rFonts w:ascii="Calibri" w:eastAsia="Calibri" w:hAnsi="Calibri"/>
                <w:b/>
                <w:color w:val="808080"/>
                <w:szCs w:val="22"/>
              </w:rPr>
              <w:t>imię i nazwisko</w:t>
            </w:r>
          </w:p>
        </w:tc>
        <w:tc>
          <w:tcPr>
            <w:tcW w:w="3124" w:type="dxa"/>
            <w:shd w:val="clear" w:color="auto" w:fill="F4B083"/>
            <w:vAlign w:val="center"/>
          </w:tcPr>
          <w:p w:rsidR="00A66254" w:rsidRPr="00A66254" w:rsidRDefault="00A66254" w:rsidP="00A66254">
            <w:pPr>
              <w:spacing w:line="276" w:lineRule="auto"/>
              <w:jc w:val="center"/>
              <w:rPr>
                <w:rFonts w:ascii="Calibri" w:eastAsia="Calibri" w:hAnsi="Calibri"/>
                <w:b/>
                <w:color w:val="808080"/>
                <w:szCs w:val="22"/>
              </w:rPr>
            </w:pPr>
            <w:r w:rsidRPr="00A66254">
              <w:rPr>
                <w:rFonts w:ascii="Calibri" w:eastAsia="Calibri" w:hAnsi="Calibri"/>
                <w:b/>
                <w:color w:val="808080"/>
                <w:szCs w:val="22"/>
              </w:rPr>
              <w:t>spółka</w:t>
            </w:r>
          </w:p>
        </w:tc>
        <w:tc>
          <w:tcPr>
            <w:tcW w:w="2399" w:type="dxa"/>
            <w:shd w:val="clear" w:color="auto" w:fill="F4B083"/>
            <w:vAlign w:val="center"/>
          </w:tcPr>
          <w:p w:rsidR="00A66254" w:rsidRPr="00A66254" w:rsidRDefault="00A66254" w:rsidP="00A66254">
            <w:pPr>
              <w:spacing w:line="276" w:lineRule="auto"/>
              <w:jc w:val="center"/>
              <w:rPr>
                <w:rFonts w:ascii="Calibri" w:eastAsia="Calibri" w:hAnsi="Calibri"/>
                <w:b/>
                <w:color w:val="808080"/>
                <w:szCs w:val="22"/>
              </w:rPr>
            </w:pPr>
            <w:r w:rsidRPr="00A66254">
              <w:rPr>
                <w:rFonts w:ascii="Calibri" w:eastAsia="Calibri" w:hAnsi="Calibri"/>
                <w:b/>
                <w:color w:val="808080"/>
                <w:szCs w:val="22"/>
              </w:rPr>
              <w:t>wynagrodzenie (USD)</w:t>
            </w:r>
          </w:p>
        </w:tc>
      </w:tr>
      <w:tr w:rsidR="00A66254" w:rsidRPr="00A66254" w:rsidTr="00A66254">
        <w:trPr>
          <w:trHeight w:val="567"/>
        </w:trPr>
        <w:tc>
          <w:tcPr>
            <w:tcW w:w="70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1.</w:t>
            </w:r>
          </w:p>
        </w:tc>
        <w:tc>
          <w:tcPr>
            <w:tcW w:w="2835" w:type="dxa"/>
            <w:vAlign w:val="center"/>
          </w:tcPr>
          <w:p w:rsidR="00A66254" w:rsidRPr="00A66254" w:rsidRDefault="00A66254" w:rsidP="00A66254">
            <w:pPr>
              <w:spacing w:line="276" w:lineRule="auto"/>
              <w:contextualSpacing/>
              <w:mirrorIndents/>
              <w:rPr>
                <w:rFonts w:ascii="Calibri" w:eastAsia="Calibri" w:hAnsi="Calibri"/>
                <w:szCs w:val="22"/>
              </w:rPr>
            </w:pPr>
            <w:proofErr w:type="spellStart"/>
            <w:r w:rsidRPr="00A66254">
              <w:rPr>
                <w:rFonts w:ascii="Calibri" w:eastAsia="Calibri" w:hAnsi="Calibri"/>
                <w:szCs w:val="22"/>
              </w:rPr>
              <w:t>Hock</w:t>
            </w:r>
            <w:proofErr w:type="spellEnd"/>
            <w:r w:rsidRPr="00A66254">
              <w:rPr>
                <w:rFonts w:ascii="Calibri" w:eastAsia="Calibri" w:hAnsi="Calibri"/>
                <w:szCs w:val="22"/>
              </w:rPr>
              <w:t xml:space="preserve"> E. Tan</w:t>
            </w:r>
          </w:p>
        </w:tc>
        <w:tc>
          <w:tcPr>
            <w:tcW w:w="3124" w:type="dxa"/>
            <w:vAlign w:val="center"/>
          </w:tcPr>
          <w:p w:rsidR="00A66254" w:rsidRPr="00A66254" w:rsidRDefault="00A66254" w:rsidP="00A66254">
            <w:pPr>
              <w:spacing w:line="276" w:lineRule="auto"/>
              <w:contextualSpacing/>
              <w:mirrorIndents/>
              <w:rPr>
                <w:rFonts w:ascii="Calibri" w:eastAsia="Calibri" w:hAnsi="Calibri"/>
                <w:szCs w:val="22"/>
              </w:rPr>
            </w:pPr>
            <w:proofErr w:type="spellStart"/>
            <w:r w:rsidRPr="00A66254">
              <w:rPr>
                <w:rFonts w:ascii="Calibri" w:eastAsia="Calibri" w:hAnsi="Calibri"/>
                <w:szCs w:val="22"/>
              </w:rPr>
              <w:t>Broadcom</w:t>
            </w:r>
            <w:proofErr w:type="spellEnd"/>
          </w:p>
        </w:tc>
        <w:tc>
          <w:tcPr>
            <w:tcW w:w="2399" w:type="dxa"/>
            <w:vAlign w:val="center"/>
          </w:tcPr>
          <w:p w:rsidR="00A66254" w:rsidRPr="00A66254" w:rsidRDefault="00A66254" w:rsidP="00A66254">
            <w:pPr>
              <w:spacing w:line="276" w:lineRule="auto"/>
              <w:contextualSpacing/>
              <w:mirrorIndents/>
              <w:jc w:val="center"/>
              <w:rPr>
                <w:rFonts w:ascii="Calibri" w:eastAsia="Calibri" w:hAnsi="Calibri"/>
                <w:szCs w:val="22"/>
              </w:rPr>
            </w:pPr>
            <w:r w:rsidRPr="00A66254">
              <w:rPr>
                <w:rFonts w:ascii="Calibri" w:eastAsia="Calibri" w:hAnsi="Calibri"/>
                <w:szCs w:val="22"/>
              </w:rPr>
              <w:t>103 211 163</w:t>
            </w:r>
          </w:p>
        </w:tc>
      </w:tr>
      <w:tr w:rsidR="00A66254" w:rsidRPr="00A66254" w:rsidTr="00A66254">
        <w:trPr>
          <w:trHeight w:val="567"/>
        </w:trPr>
        <w:tc>
          <w:tcPr>
            <w:tcW w:w="70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2.</w:t>
            </w:r>
          </w:p>
        </w:tc>
        <w:tc>
          <w:tcPr>
            <w:tcW w:w="2835"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 xml:space="preserve">Frank J. </w:t>
            </w:r>
            <w:proofErr w:type="spellStart"/>
            <w:r w:rsidRPr="00A66254">
              <w:rPr>
                <w:rFonts w:ascii="Calibri" w:eastAsia="Calibri" w:hAnsi="Calibri"/>
                <w:szCs w:val="22"/>
              </w:rPr>
              <w:t>Bisignano</w:t>
            </w:r>
            <w:proofErr w:type="spellEnd"/>
          </w:p>
        </w:tc>
        <w:tc>
          <w:tcPr>
            <w:tcW w:w="312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First Data</w:t>
            </w:r>
          </w:p>
        </w:tc>
        <w:tc>
          <w:tcPr>
            <w:tcW w:w="2399" w:type="dxa"/>
            <w:vAlign w:val="center"/>
          </w:tcPr>
          <w:p w:rsidR="00A66254" w:rsidRPr="00A66254" w:rsidRDefault="00A66254" w:rsidP="00A66254">
            <w:pPr>
              <w:spacing w:line="276" w:lineRule="auto"/>
              <w:contextualSpacing/>
              <w:mirrorIndents/>
              <w:jc w:val="center"/>
              <w:rPr>
                <w:rFonts w:ascii="Calibri" w:eastAsia="Calibri" w:hAnsi="Calibri"/>
                <w:szCs w:val="22"/>
              </w:rPr>
            </w:pPr>
            <w:r w:rsidRPr="00A66254">
              <w:rPr>
                <w:rFonts w:ascii="Calibri" w:eastAsia="Calibri" w:hAnsi="Calibri"/>
                <w:szCs w:val="22"/>
              </w:rPr>
              <w:t>102 210 396</w:t>
            </w:r>
          </w:p>
        </w:tc>
      </w:tr>
      <w:tr w:rsidR="00A66254" w:rsidRPr="00A66254" w:rsidTr="00A66254">
        <w:trPr>
          <w:trHeight w:val="567"/>
        </w:trPr>
        <w:tc>
          <w:tcPr>
            <w:tcW w:w="70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3.</w:t>
            </w:r>
          </w:p>
        </w:tc>
        <w:tc>
          <w:tcPr>
            <w:tcW w:w="2835"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 xml:space="preserve">Michael </w:t>
            </w:r>
            <w:proofErr w:type="spellStart"/>
            <w:r w:rsidRPr="00A66254">
              <w:rPr>
                <w:rFonts w:ascii="Calibri" w:eastAsia="Calibri" w:hAnsi="Calibri"/>
                <w:szCs w:val="22"/>
              </w:rPr>
              <w:t>Rapino</w:t>
            </w:r>
            <w:proofErr w:type="spellEnd"/>
          </w:p>
        </w:tc>
        <w:tc>
          <w:tcPr>
            <w:tcW w:w="312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 xml:space="preserve">Live </w:t>
            </w:r>
            <w:proofErr w:type="spellStart"/>
            <w:r w:rsidRPr="00A66254">
              <w:rPr>
                <w:rFonts w:ascii="Calibri" w:eastAsia="Calibri" w:hAnsi="Calibri"/>
                <w:szCs w:val="22"/>
              </w:rPr>
              <w:t>Nation</w:t>
            </w:r>
            <w:proofErr w:type="spellEnd"/>
            <w:r w:rsidRPr="00A66254">
              <w:rPr>
                <w:rFonts w:ascii="Calibri" w:eastAsia="Calibri" w:hAnsi="Calibri"/>
                <w:szCs w:val="22"/>
              </w:rPr>
              <w:t xml:space="preserve"> Entertainment</w:t>
            </w:r>
          </w:p>
        </w:tc>
        <w:tc>
          <w:tcPr>
            <w:tcW w:w="2399" w:type="dxa"/>
            <w:vAlign w:val="center"/>
          </w:tcPr>
          <w:p w:rsidR="00A66254" w:rsidRPr="00A66254" w:rsidRDefault="00A66254" w:rsidP="00A66254">
            <w:pPr>
              <w:spacing w:line="276" w:lineRule="auto"/>
              <w:contextualSpacing/>
              <w:mirrorIndents/>
              <w:jc w:val="center"/>
              <w:rPr>
                <w:rFonts w:ascii="Calibri" w:eastAsia="Calibri" w:hAnsi="Calibri"/>
                <w:szCs w:val="22"/>
              </w:rPr>
            </w:pPr>
            <w:r w:rsidRPr="00A66254">
              <w:rPr>
                <w:rFonts w:ascii="Calibri" w:eastAsia="Calibri" w:hAnsi="Calibri"/>
                <w:szCs w:val="22"/>
              </w:rPr>
              <w:t>70 615 760</w:t>
            </w:r>
          </w:p>
        </w:tc>
      </w:tr>
      <w:tr w:rsidR="00A66254" w:rsidRPr="00A66254" w:rsidTr="00A66254">
        <w:trPr>
          <w:trHeight w:val="567"/>
        </w:trPr>
        <w:tc>
          <w:tcPr>
            <w:tcW w:w="70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4.</w:t>
            </w:r>
          </w:p>
        </w:tc>
        <w:tc>
          <w:tcPr>
            <w:tcW w:w="2835" w:type="dxa"/>
            <w:vAlign w:val="center"/>
          </w:tcPr>
          <w:p w:rsidR="00A66254" w:rsidRPr="00A66254" w:rsidRDefault="00A66254" w:rsidP="00A66254">
            <w:pPr>
              <w:spacing w:line="276" w:lineRule="auto"/>
              <w:contextualSpacing/>
              <w:mirrorIndents/>
              <w:rPr>
                <w:rFonts w:ascii="Calibri" w:eastAsia="Calibri" w:hAnsi="Calibri"/>
                <w:szCs w:val="22"/>
              </w:rPr>
            </w:pPr>
            <w:proofErr w:type="spellStart"/>
            <w:r w:rsidRPr="00A66254">
              <w:rPr>
                <w:rFonts w:ascii="Calibri" w:eastAsia="Calibri" w:hAnsi="Calibri"/>
                <w:szCs w:val="22"/>
              </w:rPr>
              <w:t>Leslie</w:t>
            </w:r>
            <w:proofErr w:type="spellEnd"/>
            <w:r w:rsidRPr="00A66254">
              <w:rPr>
                <w:rFonts w:ascii="Calibri" w:eastAsia="Calibri" w:hAnsi="Calibri"/>
                <w:szCs w:val="22"/>
              </w:rPr>
              <w:t xml:space="preserve"> </w:t>
            </w:r>
            <w:proofErr w:type="spellStart"/>
            <w:r w:rsidRPr="00A66254">
              <w:rPr>
                <w:rFonts w:ascii="Calibri" w:eastAsia="Calibri" w:hAnsi="Calibri"/>
                <w:szCs w:val="22"/>
              </w:rPr>
              <w:t>Moonves</w:t>
            </w:r>
            <w:proofErr w:type="spellEnd"/>
          </w:p>
        </w:tc>
        <w:tc>
          <w:tcPr>
            <w:tcW w:w="312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CBS</w:t>
            </w:r>
          </w:p>
        </w:tc>
        <w:tc>
          <w:tcPr>
            <w:tcW w:w="2399" w:type="dxa"/>
            <w:vAlign w:val="center"/>
          </w:tcPr>
          <w:p w:rsidR="00A66254" w:rsidRPr="00A66254" w:rsidRDefault="00A66254" w:rsidP="00A66254">
            <w:pPr>
              <w:spacing w:line="276" w:lineRule="auto"/>
              <w:contextualSpacing/>
              <w:mirrorIndents/>
              <w:jc w:val="center"/>
              <w:rPr>
                <w:rFonts w:ascii="Calibri" w:eastAsia="Calibri" w:hAnsi="Calibri"/>
                <w:szCs w:val="22"/>
              </w:rPr>
            </w:pPr>
            <w:r w:rsidRPr="00A66254">
              <w:rPr>
                <w:rFonts w:ascii="Calibri" w:eastAsia="Calibri" w:hAnsi="Calibri"/>
                <w:szCs w:val="22"/>
              </w:rPr>
              <w:t>68 375 015</w:t>
            </w:r>
          </w:p>
        </w:tc>
      </w:tr>
      <w:tr w:rsidR="00A66254" w:rsidRPr="00A66254" w:rsidTr="00A66254">
        <w:trPr>
          <w:trHeight w:val="567"/>
        </w:trPr>
        <w:tc>
          <w:tcPr>
            <w:tcW w:w="70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5.</w:t>
            </w:r>
          </w:p>
        </w:tc>
        <w:tc>
          <w:tcPr>
            <w:tcW w:w="2835"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 xml:space="preserve">Gregory B. </w:t>
            </w:r>
            <w:proofErr w:type="spellStart"/>
            <w:r w:rsidRPr="00A66254">
              <w:rPr>
                <w:rFonts w:ascii="Calibri" w:eastAsia="Calibri" w:hAnsi="Calibri"/>
                <w:szCs w:val="22"/>
              </w:rPr>
              <w:t>Maffei</w:t>
            </w:r>
            <w:proofErr w:type="spellEnd"/>
          </w:p>
        </w:tc>
        <w:tc>
          <w:tcPr>
            <w:tcW w:w="3124" w:type="dxa"/>
            <w:vAlign w:val="center"/>
          </w:tcPr>
          <w:p w:rsidR="00A66254" w:rsidRPr="00A66254" w:rsidRDefault="00A66254" w:rsidP="00A66254">
            <w:pPr>
              <w:spacing w:line="276" w:lineRule="auto"/>
              <w:contextualSpacing/>
              <w:mirrorIndents/>
              <w:rPr>
                <w:rFonts w:ascii="Calibri" w:eastAsia="Calibri" w:hAnsi="Calibri"/>
                <w:szCs w:val="22"/>
                <w:lang w:val="en-US"/>
              </w:rPr>
            </w:pPr>
            <w:r w:rsidRPr="00A66254">
              <w:rPr>
                <w:rFonts w:ascii="Calibri" w:eastAsia="Calibri" w:hAnsi="Calibri"/>
                <w:szCs w:val="22"/>
                <w:lang w:val="en-US"/>
              </w:rPr>
              <w:t xml:space="preserve">Liberty Media &amp; </w:t>
            </w:r>
            <w:r w:rsidRPr="00A66254">
              <w:rPr>
                <w:rFonts w:ascii="Calibri" w:eastAsia="Calibri" w:hAnsi="Calibri"/>
                <w:szCs w:val="22"/>
                <w:lang w:val="en-US"/>
              </w:rPr>
              <w:br/>
            </w:r>
            <w:proofErr w:type="spellStart"/>
            <w:r w:rsidRPr="00A66254">
              <w:rPr>
                <w:rFonts w:ascii="Calibri" w:eastAsia="Calibri" w:hAnsi="Calibri"/>
                <w:szCs w:val="22"/>
                <w:lang w:val="en-US"/>
              </w:rPr>
              <w:t>Qurate</w:t>
            </w:r>
            <w:proofErr w:type="spellEnd"/>
            <w:r w:rsidRPr="00A66254">
              <w:rPr>
                <w:rFonts w:ascii="Calibri" w:eastAsia="Calibri" w:hAnsi="Calibri"/>
                <w:szCs w:val="22"/>
                <w:lang w:val="en-US"/>
              </w:rPr>
              <w:t xml:space="preserve"> Retail Group</w:t>
            </w:r>
          </w:p>
        </w:tc>
        <w:tc>
          <w:tcPr>
            <w:tcW w:w="2399" w:type="dxa"/>
            <w:vAlign w:val="center"/>
          </w:tcPr>
          <w:p w:rsidR="00A66254" w:rsidRPr="00A66254" w:rsidRDefault="00A66254" w:rsidP="00A66254">
            <w:pPr>
              <w:spacing w:line="276" w:lineRule="auto"/>
              <w:contextualSpacing/>
              <w:mirrorIndents/>
              <w:jc w:val="center"/>
              <w:rPr>
                <w:rFonts w:ascii="Calibri" w:eastAsia="Calibri" w:hAnsi="Calibri"/>
                <w:szCs w:val="22"/>
                <w:lang w:val="en-US"/>
              </w:rPr>
            </w:pPr>
            <w:r w:rsidRPr="00A66254">
              <w:rPr>
                <w:rFonts w:ascii="Calibri" w:eastAsia="Calibri" w:hAnsi="Calibri"/>
                <w:szCs w:val="22"/>
                <w:lang w:val="en-US"/>
              </w:rPr>
              <w:t>67 220 132</w:t>
            </w:r>
          </w:p>
        </w:tc>
      </w:tr>
      <w:tr w:rsidR="00A66254" w:rsidRPr="00A66254" w:rsidTr="00A66254">
        <w:trPr>
          <w:trHeight w:val="567"/>
        </w:trPr>
        <w:tc>
          <w:tcPr>
            <w:tcW w:w="70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6.</w:t>
            </w:r>
          </w:p>
        </w:tc>
        <w:tc>
          <w:tcPr>
            <w:tcW w:w="2835"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 xml:space="preserve">W. Nicholas </w:t>
            </w:r>
            <w:proofErr w:type="spellStart"/>
            <w:r w:rsidRPr="00A66254">
              <w:rPr>
                <w:rFonts w:ascii="Calibri" w:eastAsia="Calibri" w:hAnsi="Calibri"/>
                <w:szCs w:val="22"/>
              </w:rPr>
              <w:t>Howley</w:t>
            </w:r>
            <w:proofErr w:type="spellEnd"/>
          </w:p>
        </w:tc>
        <w:tc>
          <w:tcPr>
            <w:tcW w:w="3124" w:type="dxa"/>
            <w:vAlign w:val="center"/>
          </w:tcPr>
          <w:p w:rsidR="00A66254" w:rsidRPr="00A66254" w:rsidRDefault="00A66254" w:rsidP="00A66254">
            <w:pPr>
              <w:spacing w:line="276" w:lineRule="auto"/>
              <w:contextualSpacing/>
              <w:mirrorIndents/>
              <w:rPr>
                <w:rFonts w:ascii="Calibri" w:eastAsia="Calibri" w:hAnsi="Calibri"/>
                <w:szCs w:val="22"/>
              </w:rPr>
            </w:pPr>
            <w:proofErr w:type="spellStart"/>
            <w:r w:rsidRPr="00A66254">
              <w:rPr>
                <w:rFonts w:ascii="Calibri" w:eastAsia="Calibri" w:hAnsi="Calibri"/>
                <w:szCs w:val="22"/>
              </w:rPr>
              <w:t>TransDigm</w:t>
            </w:r>
            <w:proofErr w:type="spellEnd"/>
            <w:r w:rsidRPr="00A66254">
              <w:rPr>
                <w:rFonts w:ascii="Calibri" w:eastAsia="Calibri" w:hAnsi="Calibri"/>
                <w:szCs w:val="22"/>
              </w:rPr>
              <w:t xml:space="preserve"> </w:t>
            </w:r>
            <w:proofErr w:type="spellStart"/>
            <w:r w:rsidRPr="00A66254">
              <w:rPr>
                <w:rFonts w:ascii="Calibri" w:eastAsia="Calibri" w:hAnsi="Calibri"/>
                <w:szCs w:val="22"/>
              </w:rPr>
              <w:t>Group</w:t>
            </w:r>
            <w:proofErr w:type="spellEnd"/>
          </w:p>
        </w:tc>
        <w:tc>
          <w:tcPr>
            <w:tcW w:w="2399" w:type="dxa"/>
            <w:vAlign w:val="center"/>
          </w:tcPr>
          <w:p w:rsidR="00A66254" w:rsidRPr="00A66254" w:rsidRDefault="00A66254" w:rsidP="00A66254">
            <w:pPr>
              <w:spacing w:line="276" w:lineRule="auto"/>
              <w:contextualSpacing/>
              <w:mirrorIndents/>
              <w:jc w:val="center"/>
              <w:rPr>
                <w:rFonts w:ascii="Calibri" w:eastAsia="Calibri" w:hAnsi="Calibri"/>
                <w:szCs w:val="22"/>
              </w:rPr>
            </w:pPr>
            <w:r w:rsidRPr="00A66254">
              <w:rPr>
                <w:rFonts w:ascii="Calibri" w:eastAsia="Calibri" w:hAnsi="Calibri"/>
                <w:szCs w:val="22"/>
              </w:rPr>
              <w:t>61 023 102</w:t>
            </w:r>
          </w:p>
        </w:tc>
      </w:tr>
      <w:tr w:rsidR="00A66254" w:rsidRPr="00A66254" w:rsidTr="00A66254">
        <w:trPr>
          <w:trHeight w:val="567"/>
        </w:trPr>
        <w:tc>
          <w:tcPr>
            <w:tcW w:w="70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7.</w:t>
            </w:r>
          </w:p>
        </w:tc>
        <w:tc>
          <w:tcPr>
            <w:tcW w:w="2835" w:type="dxa"/>
            <w:vAlign w:val="center"/>
          </w:tcPr>
          <w:p w:rsidR="00A66254" w:rsidRPr="00A66254" w:rsidRDefault="00A66254" w:rsidP="00A66254">
            <w:pPr>
              <w:spacing w:line="276" w:lineRule="auto"/>
              <w:contextualSpacing/>
              <w:mirrorIndents/>
              <w:rPr>
                <w:rFonts w:ascii="Calibri" w:eastAsia="Calibri" w:hAnsi="Calibri"/>
                <w:szCs w:val="22"/>
              </w:rPr>
            </w:pPr>
            <w:proofErr w:type="spellStart"/>
            <w:r w:rsidRPr="00A66254">
              <w:rPr>
                <w:rFonts w:ascii="Calibri" w:eastAsia="Calibri" w:hAnsi="Calibri"/>
                <w:szCs w:val="22"/>
              </w:rPr>
              <w:t>Dexter</w:t>
            </w:r>
            <w:proofErr w:type="spellEnd"/>
            <w:r w:rsidRPr="00A66254">
              <w:rPr>
                <w:rFonts w:ascii="Calibri" w:eastAsia="Calibri" w:hAnsi="Calibri"/>
                <w:szCs w:val="22"/>
              </w:rPr>
              <w:t xml:space="preserve"> </w:t>
            </w:r>
            <w:proofErr w:type="spellStart"/>
            <w:r w:rsidRPr="00A66254">
              <w:rPr>
                <w:rFonts w:ascii="Calibri" w:eastAsia="Calibri" w:hAnsi="Calibri"/>
                <w:szCs w:val="22"/>
              </w:rPr>
              <w:t>Goei</w:t>
            </w:r>
            <w:proofErr w:type="spellEnd"/>
          </w:p>
        </w:tc>
        <w:tc>
          <w:tcPr>
            <w:tcW w:w="3124" w:type="dxa"/>
            <w:vAlign w:val="center"/>
          </w:tcPr>
          <w:p w:rsidR="00A66254" w:rsidRPr="00A66254" w:rsidRDefault="00A66254" w:rsidP="00A66254">
            <w:pPr>
              <w:spacing w:line="276" w:lineRule="auto"/>
              <w:contextualSpacing/>
              <w:mirrorIndents/>
              <w:rPr>
                <w:rFonts w:ascii="Calibri" w:eastAsia="Calibri" w:hAnsi="Calibri"/>
                <w:szCs w:val="22"/>
              </w:rPr>
            </w:pPr>
            <w:proofErr w:type="spellStart"/>
            <w:r w:rsidRPr="00A66254">
              <w:rPr>
                <w:rFonts w:ascii="Calibri" w:eastAsia="Calibri" w:hAnsi="Calibri"/>
                <w:szCs w:val="22"/>
              </w:rPr>
              <w:t>Altice</w:t>
            </w:r>
            <w:proofErr w:type="spellEnd"/>
            <w:r w:rsidRPr="00A66254">
              <w:rPr>
                <w:rFonts w:ascii="Calibri" w:eastAsia="Calibri" w:hAnsi="Calibri"/>
                <w:szCs w:val="22"/>
              </w:rPr>
              <w:t xml:space="preserve"> USA</w:t>
            </w:r>
          </w:p>
        </w:tc>
        <w:tc>
          <w:tcPr>
            <w:tcW w:w="2399" w:type="dxa"/>
            <w:vAlign w:val="center"/>
          </w:tcPr>
          <w:p w:rsidR="00A66254" w:rsidRPr="00A66254" w:rsidRDefault="00A66254" w:rsidP="00A66254">
            <w:pPr>
              <w:spacing w:line="276" w:lineRule="auto"/>
              <w:contextualSpacing/>
              <w:mirrorIndents/>
              <w:jc w:val="center"/>
              <w:rPr>
                <w:rFonts w:ascii="Calibri" w:eastAsia="Calibri" w:hAnsi="Calibri"/>
                <w:szCs w:val="22"/>
              </w:rPr>
            </w:pPr>
            <w:r w:rsidRPr="00A66254">
              <w:rPr>
                <w:rFonts w:ascii="Calibri" w:eastAsia="Calibri" w:hAnsi="Calibri"/>
                <w:szCs w:val="22"/>
              </w:rPr>
              <w:t>53 560 610</w:t>
            </w:r>
          </w:p>
        </w:tc>
      </w:tr>
      <w:tr w:rsidR="00A66254" w:rsidRPr="00A66254" w:rsidTr="00A66254">
        <w:trPr>
          <w:trHeight w:val="567"/>
        </w:trPr>
        <w:tc>
          <w:tcPr>
            <w:tcW w:w="70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8.</w:t>
            </w:r>
          </w:p>
        </w:tc>
        <w:tc>
          <w:tcPr>
            <w:tcW w:w="2835" w:type="dxa"/>
            <w:vAlign w:val="center"/>
          </w:tcPr>
          <w:p w:rsidR="00A66254" w:rsidRPr="00A66254" w:rsidRDefault="00A66254" w:rsidP="00A66254">
            <w:pPr>
              <w:spacing w:line="276" w:lineRule="auto"/>
              <w:contextualSpacing/>
              <w:mirrorIndents/>
              <w:rPr>
                <w:rFonts w:ascii="Calibri" w:eastAsia="Calibri" w:hAnsi="Calibri"/>
                <w:szCs w:val="22"/>
              </w:rPr>
            </w:pPr>
            <w:proofErr w:type="spellStart"/>
            <w:r w:rsidRPr="00A66254">
              <w:rPr>
                <w:rFonts w:ascii="Calibri" w:eastAsia="Calibri" w:hAnsi="Calibri"/>
                <w:szCs w:val="22"/>
              </w:rPr>
              <w:t>Jefferey</w:t>
            </w:r>
            <w:proofErr w:type="spellEnd"/>
            <w:r w:rsidRPr="00A66254">
              <w:rPr>
                <w:rFonts w:ascii="Calibri" w:eastAsia="Calibri" w:hAnsi="Calibri"/>
                <w:szCs w:val="22"/>
              </w:rPr>
              <w:t xml:space="preserve"> L. </w:t>
            </w:r>
            <w:proofErr w:type="spellStart"/>
            <w:r w:rsidRPr="00A66254">
              <w:rPr>
                <w:rFonts w:ascii="Calibri" w:eastAsia="Calibri" w:hAnsi="Calibri"/>
                <w:szCs w:val="22"/>
              </w:rPr>
              <w:t>Bewkes</w:t>
            </w:r>
            <w:proofErr w:type="spellEnd"/>
          </w:p>
        </w:tc>
        <w:tc>
          <w:tcPr>
            <w:tcW w:w="3124" w:type="dxa"/>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Time Warner</w:t>
            </w:r>
          </w:p>
        </w:tc>
        <w:tc>
          <w:tcPr>
            <w:tcW w:w="2399" w:type="dxa"/>
            <w:vAlign w:val="center"/>
          </w:tcPr>
          <w:p w:rsidR="00A66254" w:rsidRPr="00A66254" w:rsidRDefault="00A66254" w:rsidP="00A66254">
            <w:pPr>
              <w:spacing w:line="276" w:lineRule="auto"/>
              <w:contextualSpacing/>
              <w:mirrorIndents/>
              <w:jc w:val="center"/>
              <w:rPr>
                <w:rFonts w:ascii="Calibri" w:eastAsia="Calibri" w:hAnsi="Calibri"/>
                <w:szCs w:val="22"/>
              </w:rPr>
            </w:pPr>
            <w:r w:rsidRPr="00A66254">
              <w:rPr>
                <w:rFonts w:ascii="Calibri" w:eastAsia="Calibri" w:hAnsi="Calibri"/>
                <w:szCs w:val="22"/>
              </w:rPr>
              <w:t>48 962 200</w:t>
            </w:r>
          </w:p>
        </w:tc>
      </w:tr>
      <w:tr w:rsidR="00A66254" w:rsidRPr="00A66254" w:rsidTr="00A66254">
        <w:trPr>
          <w:trHeight w:val="567"/>
        </w:trPr>
        <w:tc>
          <w:tcPr>
            <w:tcW w:w="704" w:type="dxa"/>
            <w:tcBorders>
              <w:bottom w:val="single" w:sz="4" w:space="0" w:color="ED7D31"/>
            </w:tcBorders>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9.</w:t>
            </w:r>
          </w:p>
        </w:tc>
        <w:tc>
          <w:tcPr>
            <w:tcW w:w="2835" w:type="dxa"/>
            <w:tcBorders>
              <w:bottom w:val="single" w:sz="4" w:space="0" w:color="ED7D31"/>
            </w:tcBorders>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Ronald F. Clarke</w:t>
            </w:r>
          </w:p>
        </w:tc>
        <w:tc>
          <w:tcPr>
            <w:tcW w:w="3124" w:type="dxa"/>
            <w:tcBorders>
              <w:bottom w:val="single" w:sz="4" w:space="0" w:color="ED7D31"/>
            </w:tcBorders>
            <w:vAlign w:val="center"/>
          </w:tcPr>
          <w:p w:rsidR="00A66254" w:rsidRPr="00A66254" w:rsidRDefault="00A66254" w:rsidP="00A66254">
            <w:pPr>
              <w:spacing w:line="276" w:lineRule="auto"/>
              <w:contextualSpacing/>
              <w:mirrorIndents/>
              <w:rPr>
                <w:rFonts w:ascii="Calibri" w:eastAsia="Calibri" w:hAnsi="Calibri"/>
                <w:szCs w:val="22"/>
              </w:rPr>
            </w:pPr>
            <w:proofErr w:type="spellStart"/>
            <w:r w:rsidRPr="00A66254">
              <w:rPr>
                <w:rFonts w:ascii="Calibri" w:eastAsia="Calibri" w:hAnsi="Calibri"/>
                <w:szCs w:val="22"/>
              </w:rPr>
              <w:t>FleetCor</w:t>
            </w:r>
            <w:proofErr w:type="spellEnd"/>
            <w:r w:rsidRPr="00A66254">
              <w:rPr>
                <w:rFonts w:ascii="Calibri" w:eastAsia="Calibri" w:hAnsi="Calibri"/>
                <w:szCs w:val="22"/>
              </w:rPr>
              <w:t xml:space="preserve"> Technologies</w:t>
            </w:r>
          </w:p>
        </w:tc>
        <w:tc>
          <w:tcPr>
            <w:tcW w:w="2399" w:type="dxa"/>
            <w:tcBorders>
              <w:bottom w:val="single" w:sz="4" w:space="0" w:color="ED7D31"/>
            </w:tcBorders>
            <w:vAlign w:val="center"/>
          </w:tcPr>
          <w:p w:rsidR="00A66254" w:rsidRPr="00A66254" w:rsidRDefault="00A66254" w:rsidP="00A66254">
            <w:pPr>
              <w:spacing w:line="276" w:lineRule="auto"/>
              <w:contextualSpacing/>
              <w:mirrorIndents/>
              <w:jc w:val="center"/>
              <w:rPr>
                <w:rFonts w:ascii="Calibri" w:eastAsia="Calibri" w:hAnsi="Calibri"/>
                <w:szCs w:val="22"/>
              </w:rPr>
            </w:pPr>
            <w:r w:rsidRPr="00A66254">
              <w:rPr>
                <w:rFonts w:ascii="Calibri" w:eastAsia="Calibri" w:hAnsi="Calibri"/>
                <w:szCs w:val="22"/>
              </w:rPr>
              <w:t>45 054 310</w:t>
            </w:r>
          </w:p>
        </w:tc>
      </w:tr>
      <w:tr w:rsidR="00A66254" w:rsidRPr="00A66254" w:rsidTr="00A66254">
        <w:trPr>
          <w:trHeight w:val="567"/>
        </w:trPr>
        <w:tc>
          <w:tcPr>
            <w:tcW w:w="704" w:type="dxa"/>
            <w:tcBorders>
              <w:top w:val="single" w:sz="4" w:space="0" w:color="ED7D31"/>
              <w:bottom w:val="single" w:sz="4" w:space="0" w:color="ED7D31"/>
            </w:tcBorders>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10.</w:t>
            </w:r>
          </w:p>
        </w:tc>
        <w:tc>
          <w:tcPr>
            <w:tcW w:w="2835" w:type="dxa"/>
            <w:tcBorders>
              <w:top w:val="single" w:sz="4" w:space="0" w:color="ED7D31"/>
              <w:bottom w:val="single" w:sz="4" w:space="0" w:color="ED7D31"/>
            </w:tcBorders>
            <w:vAlign w:val="center"/>
          </w:tcPr>
          <w:p w:rsidR="00A66254" w:rsidRPr="00A66254" w:rsidRDefault="00A66254" w:rsidP="00A66254">
            <w:pPr>
              <w:spacing w:line="276" w:lineRule="auto"/>
              <w:contextualSpacing/>
              <w:mirrorIndents/>
              <w:rPr>
                <w:rFonts w:ascii="Calibri" w:eastAsia="Calibri" w:hAnsi="Calibri"/>
                <w:szCs w:val="22"/>
              </w:rPr>
            </w:pPr>
            <w:r w:rsidRPr="00A66254">
              <w:rPr>
                <w:rFonts w:ascii="Calibri" w:eastAsia="Calibri" w:hAnsi="Calibri"/>
                <w:szCs w:val="22"/>
              </w:rPr>
              <w:t xml:space="preserve">Stephen </w:t>
            </w:r>
            <w:proofErr w:type="spellStart"/>
            <w:r w:rsidRPr="00A66254">
              <w:rPr>
                <w:rFonts w:ascii="Calibri" w:eastAsia="Calibri" w:hAnsi="Calibri"/>
                <w:szCs w:val="22"/>
              </w:rPr>
              <w:t>Kaufer</w:t>
            </w:r>
            <w:proofErr w:type="spellEnd"/>
          </w:p>
        </w:tc>
        <w:tc>
          <w:tcPr>
            <w:tcW w:w="3124" w:type="dxa"/>
            <w:tcBorders>
              <w:top w:val="single" w:sz="4" w:space="0" w:color="ED7D31"/>
              <w:bottom w:val="single" w:sz="4" w:space="0" w:color="ED7D31"/>
            </w:tcBorders>
            <w:vAlign w:val="center"/>
          </w:tcPr>
          <w:p w:rsidR="00A66254" w:rsidRPr="00A66254" w:rsidRDefault="00A66254" w:rsidP="00A66254">
            <w:pPr>
              <w:spacing w:line="276" w:lineRule="auto"/>
              <w:contextualSpacing/>
              <w:mirrorIndents/>
              <w:rPr>
                <w:rFonts w:ascii="Calibri" w:eastAsia="Calibri" w:hAnsi="Calibri"/>
                <w:szCs w:val="22"/>
              </w:rPr>
            </w:pPr>
            <w:proofErr w:type="spellStart"/>
            <w:r w:rsidRPr="00A66254">
              <w:rPr>
                <w:rFonts w:ascii="Calibri" w:eastAsia="Calibri" w:hAnsi="Calibri"/>
                <w:szCs w:val="22"/>
              </w:rPr>
              <w:t>TripAdvisor</w:t>
            </w:r>
            <w:proofErr w:type="spellEnd"/>
          </w:p>
        </w:tc>
        <w:tc>
          <w:tcPr>
            <w:tcW w:w="2399" w:type="dxa"/>
            <w:tcBorders>
              <w:top w:val="single" w:sz="4" w:space="0" w:color="ED7D31"/>
              <w:bottom w:val="single" w:sz="4" w:space="0" w:color="ED7D31"/>
            </w:tcBorders>
            <w:vAlign w:val="center"/>
          </w:tcPr>
          <w:p w:rsidR="00A66254" w:rsidRPr="00A66254" w:rsidRDefault="00A66254" w:rsidP="00A66254">
            <w:pPr>
              <w:spacing w:line="276" w:lineRule="auto"/>
              <w:contextualSpacing/>
              <w:mirrorIndents/>
              <w:jc w:val="center"/>
              <w:rPr>
                <w:rFonts w:ascii="Calibri" w:eastAsia="Calibri" w:hAnsi="Calibri"/>
                <w:szCs w:val="22"/>
              </w:rPr>
            </w:pPr>
            <w:r w:rsidRPr="00A66254">
              <w:rPr>
                <w:rFonts w:ascii="Calibri" w:eastAsia="Calibri" w:hAnsi="Calibri"/>
                <w:szCs w:val="22"/>
              </w:rPr>
              <w:t>43 160 584</w:t>
            </w:r>
          </w:p>
        </w:tc>
      </w:tr>
    </w:tbl>
    <w:p w:rsidR="00A66254" w:rsidRPr="00A66254" w:rsidRDefault="00A66254" w:rsidP="00A66254">
      <w:pPr>
        <w:spacing w:line="276" w:lineRule="auto"/>
        <w:jc w:val="center"/>
        <w:rPr>
          <w:rFonts w:ascii="Calibri" w:eastAsia="Calibri" w:hAnsi="Calibri"/>
          <w:i/>
          <w:sz w:val="18"/>
          <w:szCs w:val="22"/>
        </w:rPr>
      </w:pPr>
      <w:r w:rsidRPr="00A66254">
        <w:rPr>
          <w:rFonts w:ascii="Calibri" w:eastAsia="Calibri" w:hAnsi="Calibri"/>
          <w:i/>
          <w:sz w:val="18"/>
          <w:szCs w:val="22"/>
        </w:rPr>
        <w:t>Źródło: https://www.equilar.com/reports/56-equilar-new-york-times-highest-paid-ceos-2018.html</w:t>
      </w:r>
    </w:p>
    <w:p w:rsidR="00A66254" w:rsidRPr="00A66254" w:rsidRDefault="00A66254" w:rsidP="00A66254">
      <w:pPr>
        <w:spacing w:line="276" w:lineRule="auto"/>
        <w:jc w:val="both"/>
        <w:rPr>
          <w:rFonts w:ascii="Calibri" w:eastAsia="Calibri" w:hAnsi="Calibri"/>
          <w:szCs w:val="22"/>
        </w:rPr>
      </w:pPr>
    </w:p>
    <w:p w:rsidR="00A66254" w:rsidRPr="00A66254" w:rsidRDefault="00A66254" w:rsidP="00A66254">
      <w:pPr>
        <w:spacing w:line="276" w:lineRule="auto"/>
        <w:jc w:val="both"/>
        <w:rPr>
          <w:rFonts w:ascii="Calibri" w:eastAsia="Calibri" w:hAnsi="Calibri"/>
          <w:szCs w:val="22"/>
        </w:rPr>
      </w:pPr>
    </w:p>
    <w:p w:rsidR="00A66254" w:rsidRPr="00A66254" w:rsidRDefault="00A66254" w:rsidP="00A66254">
      <w:pPr>
        <w:spacing w:line="276" w:lineRule="auto"/>
        <w:jc w:val="both"/>
        <w:rPr>
          <w:rFonts w:ascii="Calibri" w:eastAsia="Calibri" w:hAnsi="Calibri"/>
          <w:szCs w:val="22"/>
        </w:rPr>
      </w:pPr>
      <w:r w:rsidRPr="00A66254">
        <w:rPr>
          <w:rFonts w:ascii="Calibri" w:eastAsia="Calibri" w:hAnsi="Calibri"/>
          <w:szCs w:val="22"/>
        </w:rPr>
        <w:t xml:space="preserve">Standardowy system wynagradzania kadry zarządzającej oparty jest na premii rocznej i długoterminowym planie motywacyjnym wykorzystującym instrumenty finansowe powiązane z wartością akcji spółki. Premia roczna zależy zazwyczaj od realizacji wskaźników finansowych takich jak EBITDA (zysk bez kosztów obsługi kredytu i amortyzacji), czy EPS (zysk na jedną akcję). Wartość wypłat z programu długoterminowego jest uzależniona bezpośrednio od wartości akcji, a więc pośrednio również od realizacji wskaźników finansowych. Cały system motywacyjny (a mówimy tu zazwyczaj, o co najmniej 60% potencjalnego wynagrodzenia menedżerów) oparty jest więc mniej lub bardziej bezpośrednio na wskaźnikach finansowych. Jego niewłaściwe zaprojektowanie niesie ze sobą ryzyko skłonienia kadry do koloryzowania rzeczywistych wyników, czy podejmowania ryzykownych decyzji. Szczególnie w sytuacji, gdy zyski zaczynają spadać, a tym samym wypłaty z programu są zagrożone. Sytuacja taka miała miejsce zarówno w latach 2001 – 2002 podczas kryzysu spółek technologicznych, jak i w latach 2008 – 2009 podczas kryzysu bankowego. Na początku millenium rynkami wstrząsnęły skandale księgowe w Enronie i </w:t>
      </w:r>
      <w:proofErr w:type="spellStart"/>
      <w:r w:rsidRPr="00A66254">
        <w:rPr>
          <w:rFonts w:ascii="Calibri" w:eastAsia="Calibri" w:hAnsi="Calibri"/>
          <w:szCs w:val="22"/>
        </w:rPr>
        <w:t>Worldcomie</w:t>
      </w:r>
      <w:proofErr w:type="spellEnd"/>
      <w:r w:rsidRPr="00A66254">
        <w:rPr>
          <w:rFonts w:ascii="Calibri" w:eastAsia="Calibri" w:hAnsi="Calibri"/>
          <w:szCs w:val="22"/>
        </w:rPr>
        <w:t xml:space="preserve">. Zarządy spółek nawet gdy ogłaszały upadłość otrzymywały ogromne premie (2010). Pod koniec dekady doświadczyliśmy natomiast </w:t>
      </w:r>
      <w:r w:rsidRPr="00A66254">
        <w:rPr>
          <w:rFonts w:ascii="Calibri" w:eastAsia="Calibri" w:hAnsi="Calibri"/>
          <w:szCs w:val="22"/>
        </w:rPr>
        <w:lastRenderedPageBreak/>
        <w:t xml:space="preserve">nieodpowiedzialnej polityki kredytowej i nadmiernego zaangażowania w instrumenty pochodne. Polityka ta w średnim horyzoncie czasowym doprowadziła do spektakularnego bankructwa banku Lehman </w:t>
      </w:r>
      <w:proofErr w:type="spellStart"/>
      <w:r w:rsidRPr="00A66254">
        <w:rPr>
          <w:rFonts w:ascii="Calibri" w:eastAsia="Calibri" w:hAnsi="Calibri"/>
          <w:szCs w:val="22"/>
        </w:rPr>
        <w:t>Brothers</w:t>
      </w:r>
      <w:proofErr w:type="spellEnd"/>
      <w:r w:rsidRPr="00A66254">
        <w:rPr>
          <w:rFonts w:ascii="Calibri" w:eastAsia="Calibri" w:hAnsi="Calibri"/>
          <w:szCs w:val="22"/>
        </w:rPr>
        <w:t xml:space="preserve">, czy </w:t>
      </w:r>
      <w:proofErr w:type="spellStart"/>
      <w:r w:rsidRPr="00A66254">
        <w:rPr>
          <w:rFonts w:ascii="Calibri" w:eastAsia="Calibri" w:hAnsi="Calibri"/>
          <w:i/>
          <w:szCs w:val="22"/>
        </w:rPr>
        <w:t>bailoutów</w:t>
      </w:r>
      <w:proofErr w:type="spellEnd"/>
      <w:r w:rsidRPr="00A66254">
        <w:rPr>
          <w:rFonts w:ascii="Calibri" w:eastAsia="Calibri" w:hAnsi="Calibri"/>
          <w:szCs w:val="22"/>
        </w:rPr>
        <w:t xml:space="preserve"> (państwowej pomocy finansowej) w przypadku AIG. Doświadczenia te postawiły pytania co do właściwości konstrukcji systemów premiowania menedżerów. Ukształtowały one też współczesną praktykę ich kształtowania (zapewne aż do kolejnego kryzysu).</w:t>
      </w:r>
    </w:p>
    <w:p w:rsidR="00A66254" w:rsidRPr="00A66254" w:rsidRDefault="00A66254" w:rsidP="00A66254">
      <w:pPr>
        <w:spacing w:line="276" w:lineRule="auto"/>
        <w:jc w:val="both"/>
        <w:rPr>
          <w:rFonts w:ascii="Calibri" w:eastAsia="Calibri" w:hAnsi="Calibri"/>
          <w:szCs w:val="22"/>
        </w:rPr>
      </w:pPr>
    </w:p>
    <w:p w:rsidR="00A66254" w:rsidRPr="00A66254" w:rsidRDefault="00A66254" w:rsidP="00A66254">
      <w:pPr>
        <w:spacing w:line="276" w:lineRule="auto"/>
        <w:jc w:val="both"/>
        <w:rPr>
          <w:rFonts w:ascii="Calibri" w:eastAsia="Calibri" w:hAnsi="Calibri"/>
          <w:szCs w:val="22"/>
        </w:rPr>
      </w:pPr>
      <w:r w:rsidRPr="00A66254">
        <w:rPr>
          <w:rFonts w:ascii="Calibri" w:eastAsia="Calibri" w:hAnsi="Calibri"/>
          <w:szCs w:val="22"/>
        </w:rPr>
        <w:t>Powyższe przykłady powinny Państwu ukazać ryzyko jakie niesie ze sobą zatrudnienie niewłaściwych menedżerów lub motywowanie ich w niewłaściwy sposób. Dlatego, system wynagradzania kadry zarządzającej powinien być zaprojektowany w przemyślany sposób. Do głównych zadań takiego systemu należy przede wszystkim przyciągnięcie, zatrzymanie i motywacja jak najlepszych dyrektorów.</w:t>
      </w:r>
    </w:p>
    <w:p w:rsidR="00A66254" w:rsidRPr="00A66254" w:rsidRDefault="00A66254" w:rsidP="00A66254">
      <w:pPr>
        <w:spacing w:line="276" w:lineRule="auto"/>
        <w:jc w:val="both"/>
        <w:rPr>
          <w:rFonts w:ascii="Calibri" w:eastAsia="Calibri" w:hAnsi="Calibri"/>
          <w:szCs w:val="22"/>
        </w:rPr>
      </w:pPr>
    </w:p>
    <w:p w:rsidR="00A31385" w:rsidRPr="00A66254" w:rsidRDefault="00A66254" w:rsidP="00A66254">
      <w:pPr>
        <w:spacing w:line="276" w:lineRule="auto"/>
        <w:jc w:val="both"/>
        <w:rPr>
          <w:rFonts w:ascii="Calibri" w:eastAsia="Calibri" w:hAnsi="Calibri"/>
          <w:szCs w:val="22"/>
        </w:rPr>
      </w:pPr>
      <w:r w:rsidRPr="00A66254">
        <w:rPr>
          <w:rFonts w:ascii="Calibri" w:eastAsia="Calibri" w:hAnsi="Calibri"/>
          <w:szCs w:val="22"/>
        </w:rPr>
        <w:t xml:space="preserve">Przyciągniecie właściwych osób może być szczególnie trudne. </w:t>
      </w:r>
      <w:proofErr w:type="spellStart"/>
      <w:r w:rsidRPr="00A66254">
        <w:rPr>
          <w:rFonts w:ascii="Calibri" w:eastAsia="Calibri" w:hAnsi="Calibri"/>
          <w:szCs w:val="22"/>
        </w:rPr>
        <w:t>Rosen</w:t>
      </w:r>
      <w:proofErr w:type="spellEnd"/>
      <w:r w:rsidRPr="00A66254">
        <w:rPr>
          <w:rFonts w:ascii="Calibri" w:eastAsia="Calibri" w:hAnsi="Calibri"/>
          <w:szCs w:val="22"/>
        </w:rPr>
        <w:t xml:space="preserve"> (1981) w swoim artykule “</w:t>
      </w:r>
      <w:r w:rsidRPr="00A66254">
        <w:rPr>
          <w:rFonts w:ascii="Calibri" w:eastAsia="Calibri" w:hAnsi="Calibri"/>
          <w:i/>
          <w:szCs w:val="22"/>
        </w:rPr>
        <w:t xml:space="preserve">The </w:t>
      </w:r>
      <w:proofErr w:type="spellStart"/>
      <w:r w:rsidRPr="00A66254">
        <w:rPr>
          <w:rFonts w:ascii="Calibri" w:eastAsia="Calibri" w:hAnsi="Calibri"/>
          <w:i/>
          <w:szCs w:val="22"/>
        </w:rPr>
        <w:t>Economics</w:t>
      </w:r>
      <w:proofErr w:type="spellEnd"/>
      <w:r w:rsidRPr="00A66254">
        <w:rPr>
          <w:rFonts w:ascii="Calibri" w:eastAsia="Calibri" w:hAnsi="Calibri"/>
          <w:i/>
          <w:szCs w:val="22"/>
        </w:rPr>
        <w:t xml:space="preserve"> of </w:t>
      </w:r>
      <w:proofErr w:type="spellStart"/>
      <w:r w:rsidRPr="00A66254">
        <w:rPr>
          <w:rFonts w:ascii="Calibri" w:eastAsia="Calibri" w:hAnsi="Calibri"/>
          <w:i/>
          <w:szCs w:val="22"/>
        </w:rPr>
        <w:t>Superstars</w:t>
      </w:r>
      <w:proofErr w:type="spellEnd"/>
      <w:r w:rsidRPr="00A66254">
        <w:rPr>
          <w:rFonts w:ascii="Calibri" w:eastAsia="Calibri" w:hAnsi="Calibri"/>
          <w:szCs w:val="22"/>
        </w:rPr>
        <w:t>”, wysuwa teorię, że najlepsi menedżerowie kosztują dużo więcej, niż dobrzy. Wynika to ze stopniowo zawężającej się grupy menedżerów o odpowiednich umiejętnościach oraz rosnących potencjalnych korzyściach płynących z pozyskania lepszego menedżera. Jako przykład można podać sportowców. Pomiędzy 5, a 1 miejscem w zawodach lekkoatletycznych różnice w wyniku są zazwyczaj marginalne. O piątym miejscu jednak szybko się zapomina, a o zwycięzcy mówią wszyscy. Podobnie będzie z dobrym chirurgiem. Jeżeli czeka nas operacja, to za każde 5% więcej szans na przeżycie jesteśmy w stanie dopłacić dużo więcej niż 5% więcej wynagrodzenia. Przekładając to na sytuacje przedsiębiorstwa, nieco lepszy menedżer może zażądać dużo więcej niż przeciętnie dobry. Różnice w zdolnościach dodatkowo wzmacnia efekt skali działalności przedsiębiorstwa. Menedżer osiągający o 2% lepsze wyniki w lokalnym przedsiębiorstwie może przynieść firmie dodatkowe kilka – kilkadziesiąt tysięcy zysku. W przedsiębiorstwie globalnym to 2% może dać kilka – kilkadziesiąt milionów. Koszty wyższej wypłaty szybko się zwracają.</w:t>
      </w:r>
    </w:p>
    <w:p w:rsidR="0000005A" w:rsidRPr="00A217F4" w:rsidRDefault="0000005A"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lang w:val="en-US" w:eastAsia="en-US"/>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32385</wp:posOffset>
                </wp:positionV>
                <wp:extent cx="5734050" cy="45719"/>
                <wp:effectExtent l="0" t="0" r="19050" b="311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5719"/>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EEA5767" id="_x0000_t32" coordsize="21600,21600" o:spt="32" o:oned="t" path="m,l21600,21600e" filled="f">
                <v:path arrowok="t" fillok="f" o:connecttype="none"/>
                <o:lock v:ext="edit" shapetype="t"/>
              </v:shapetype>
              <v:shape id="AutoShape 5" o:spid="_x0000_s1026" type="#_x0000_t32" style="position:absolute;margin-left:400.3pt;margin-top:2.55pt;width:451.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" strokecolor="#54628d" strokeweight="1.5pt">
                <w10:wrap anchorx="margin"/>
              </v:shape>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lang w:val="en-US" w:eastAsia="en-US"/>
        </w:rPr>
        <w:drawing>
          <wp:inline distT="0" distB="0" distL="0" distR="0">
            <wp:extent cx="1619250" cy="200025"/>
            <wp:effectExtent l="0" t="0" r="0" b="0"/>
            <wp:docPr id="2" name="Obraz 2" descr="logo_wynagrodzeni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2"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816937">
      <w:headerReference w:type="default" r:id="rId13"/>
      <w:footerReference w:type="default" r:id="rId14"/>
      <w:pgSz w:w="11906" w:h="16838"/>
      <w:pgMar w:top="1950" w:right="1418" w:bottom="1985" w:left="141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val="en-US"/>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val="en-US"/>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val="en-US"/>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7"/>
  </w:num>
  <w:num w:numId="4">
    <w:abstractNumId w:val="13"/>
  </w:num>
  <w:num w:numId="5">
    <w:abstractNumId w:val="10"/>
  </w:num>
  <w:num w:numId="6">
    <w:abstractNumId w:val="22"/>
  </w:num>
  <w:num w:numId="7">
    <w:abstractNumId w:val="19"/>
  </w:num>
  <w:num w:numId="8">
    <w:abstractNumId w:val="6"/>
  </w:num>
  <w:num w:numId="9">
    <w:abstractNumId w:val="0"/>
  </w:num>
  <w:num w:numId="10">
    <w:abstractNumId w:val="4"/>
  </w:num>
  <w:num w:numId="11">
    <w:abstractNumId w:val="16"/>
  </w:num>
  <w:num w:numId="12">
    <w:abstractNumId w:val="12"/>
  </w:num>
  <w:num w:numId="13">
    <w:abstractNumId w:val="1"/>
  </w:num>
  <w:num w:numId="14">
    <w:abstractNumId w:val="2"/>
  </w:num>
  <w:num w:numId="15">
    <w:abstractNumId w:val="17"/>
  </w:num>
  <w:num w:numId="16">
    <w:abstractNumId w:val="11"/>
  </w:num>
  <w:num w:numId="17">
    <w:abstractNumId w:val="21"/>
  </w:num>
  <w:num w:numId="18">
    <w:abstractNumId w:val="14"/>
  </w:num>
  <w:num w:numId="19">
    <w:abstractNumId w:val="18"/>
  </w:num>
  <w:num w:numId="20">
    <w:abstractNumId w:val="8"/>
  </w:num>
  <w:num w:numId="21">
    <w:abstractNumId w:val="5"/>
  </w:num>
  <w:num w:numId="22">
    <w:abstractNumId w:val="9"/>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57697"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5E01"/>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16937"/>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66254"/>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7697"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 w:type="table" w:customStyle="1" w:styleId="Tabela-Siatka6">
    <w:name w:val="Tabela - Siatka6"/>
    <w:basedOn w:val="Standardowy"/>
    <w:next w:val="Tabela-Siatka"/>
    <w:uiPriority w:val="39"/>
    <w:rsid w:val="00A662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ynagrodzenia.pl/t/ogolnopolskie-badanie-wynagrodzen-n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ynagrodzenia.pl/"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130939-9340-48AF-B1E6-BC1F11EC7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966</Words>
  <Characters>5510</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6464</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Patrycja Małek</cp:lastModifiedBy>
  <cp:revision>3</cp:revision>
  <cp:lastPrinted>2016-12-19T13:09:00Z</cp:lastPrinted>
  <dcterms:created xsi:type="dcterms:W3CDTF">2018-11-22T10:44:00Z</dcterms:created>
  <dcterms:modified xsi:type="dcterms:W3CDTF">2018-11-22T10:49:00Z</dcterms:modified>
</cp:coreProperties>
</file>